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7783" w:rsidRPr="006F4E6F" w:rsidRDefault="0092582C" w:rsidP="000B12D5">
      <w:pPr>
        <w:rPr>
          <w:b/>
          <w:lang w:val="sq-AL"/>
        </w:rPr>
      </w:pPr>
      <w:bookmarkStart w:id="0" w:name="_GoBack"/>
      <w:bookmarkEnd w:id="0"/>
      <w:r w:rsidRPr="006F4E6F">
        <w:rPr>
          <w:b/>
          <w:lang w:val="sq-AL"/>
        </w:rPr>
        <w:t xml:space="preserve">  </w:t>
      </w:r>
    </w:p>
    <w:p w:rsidR="00272A99" w:rsidRPr="006F4E6F" w:rsidRDefault="0092582C" w:rsidP="00272A99">
      <w:pPr>
        <w:jc w:val="center"/>
        <w:rPr>
          <w:b/>
          <w:lang w:val="sq-AL"/>
        </w:rPr>
      </w:pPr>
      <w:r w:rsidRPr="006F4E6F">
        <w:rPr>
          <w:b/>
          <w:lang w:val="sq-AL"/>
        </w:rPr>
        <w:t xml:space="preserve">  </w:t>
      </w:r>
      <w:r w:rsidR="00272A99" w:rsidRPr="006F4E6F">
        <w:rPr>
          <w:b/>
          <w:lang w:val="sq-AL"/>
        </w:rPr>
        <w:t>R E L A C I O N</w:t>
      </w:r>
    </w:p>
    <w:p w:rsidR="00272A99" w:rsidRPr="006F4E6F" w:rsidRDefault="00272A99" w:rsidP="00CD6BA7">
      <w:pPr>
        <w:rPr>
          <w:b/>
          <w:lang w:val="sq-AL"/>
        </w:rPr>
      </w:pPr>
    </w:p>
    <w:p w:rsidR="00272A99" w:rsidRPr="006F4E6F" w:rsidRDefault="004331FB" w:rsidP="00272A99">
      <w:pPr>
        <w:jc w:val="center"/>
        <w:rPr>
          <w:b/>
          <w:lang w:val="sq-AL"/>
        </w:rPr>
      </w:pPr>
      <w:r>
        <w:rPr>
          <w:b/>
          <w:lang w:val="sq-AL"/>
        </w:rPr>
        <w:t>PËR</w:t>
      </w:r>
    </w:p>
    <w:p w:rsidR="00272A99" w:rsidRPr="006F4E6F" w:rsidRDefault="00272A99" w:rsidP="00272A99">
      <w:pPr>
        <w:jc w:val="center"/>
        <w:rPr>
          <w:b/>
          <w:lang w:val="sq-AL"/>
        </w:rPr>
      </w:pPr>
      <w:r w:rsidRPr="006F4E6F">
        <w:rPr>
          <w:b/>
          <w:lang w:val="sq-AL"/>
        </w:rPr>
        <w:t xml:space="preserve"> </w:t>
      </w:r>
    </w:p>
    <w:p w:rsidR="000B4D70" w:rsidRPr="00D72B27" w:rsidRDefault="00497762" w:rsidP="00D72B27">
      <w:pPr>
        <w:jc w:val="center"/>
        <w:rPr>
          <w:b/>
          <w:bCs/>
          <w:color w:val="000000" w:themeColor="text1"/>
          <w:lang w:val="sq-AL"/>
        </w:rPr>
      </w:pPr>
      <w:r w:rsidRPr="006F4E6F">
        <w:rPr>
          <w:b/>
          <w:lang w:val="sq-AL"/>
        </w:rPr>
        <w:t xml:space="preserve">PROJEKTLIGJIN “PËR </w:t>
      </w:r>
      <w:r w:rsidR="000A451A" w:rsidRPr="006F4E6F">
        <w:rPr>
          <w:b/>
          <w:lang w:val="sq-AL"/>
        </w:rPr>
        <w:t>DISA</w:t>
      </w:r>
      <w:r w:rsidRPr="006F4E6F">
        <w:rPr>
          <w:b/>
          <w:lang w:val="sq-AL"/>
        </w:rPr>
        <w:t xml:space="preserve"> </w:t>
      </w:r>
      <w:r w:rsidR="009515A0" w:rsidRPr="006F4E6F">
        <w:rPr>
          <w:b/>
          <w:lang w:val="sq-AL"/>
        </w:rPr>
        <w:t>SHTES</w:t>
      </w:r>
      <w:r w:rsidR="00310FFB" w:rsidRPr="006F4E6F">
        <w:rPr>
          <w:b/>
          <w:lang w:val="sq-AL"/>
        </w:rPr>
        <w:t>A</w:t>
      </w:r>
      <w:r w:rsidR="00F36D1E" w:rsidRPr="00F36D1E">
        <w:rPr>
          <w:b/>
          <w:lang w:val="sq-AL"/>
        </w:rPr>
        <w:t xml:space="preserve"> </w:t>
      </w:r>
      <w:r w:rsidRPr="006F4E6F">
        <w:rPr>
          <w:b/>
          <w:lang w:val="sq-AL"/>
        </w:rPr>
        <w:t xml:space="preserve">NË LIGJIN </w:t>
      </w:r>
      <w:r w:rsidRPr="006F4E6F">
        <w:rPr>
          <w:b/>
          <w:bCs/>
          <w:color w:val="000000" w:themeColor="text1"/>
          <w:lang w:val="sq-AL"/>
        </w:rPr>
        <w:t>NR. 8438, DATË 28.12.1998 “PËR TATIMIN MBI TË ARDHURAT”, TË NDRYSHUAR</w:t>
      </w:r>
      <w:r w:rsidR="00EC0EA2" w:rsidRPr="006F4E6F">
        <w:rPr>
          <w:b/>
          <w:bCs/>
          <w:color w:val="000000" w:themeColor="text1"/>
          <w:lang w:val="sq-AL"/>
        </w:rPr>
        <w:t>”</w:t>
      </w:r>
    </w:p>
    <w:p w:rsidR="0092582C" w:rsidRPr="006F4E6F" w:rsidRDefault="0092582C" w:rsidP="0092582C">
      <w:pPr>
        <w:jc w:val="center"/>
        <w:rPr>
          <w:b/>
          <w:lang w:val="sq-AL"/>
        </w:rPr>
      </w:pPr>
    </w:p>
    <w:p w:rsidR="000B4D70" w:rsidRPr="006F4E6F" w:rsidRDefault="00272A99" w:rsidP="000B4D70">
      <w:pPr>
        <w:numPr>
          <w:ilvl w:val="0"/>
          <w:numId w:val="1"/>
        </w:numPr>
        <w:spacing w:after="200" w:line="276" w:lineRule="auto"/>
        <w:ind w:left="720"/>
        <w:jc w:val="both"/>
        <w:rPr>
          <w:b/>
          <w:lang w:val="sq-AL"/>
        </w:rPr>
      </w:pPr>
      <w:r w:rsidRPr="006F4E6F">
        <w:rPr>
          <w:b/>
          <w:lang w:val="sq-AL"/>
        </w:rPr>
        <w:t>QËLLIMI I PROJEKTLIGJIT DHE OBJEKTIVAT QË SYNOHEN TË ARRIHEN</w:t>
      </w:r>
      <w:r w:rsidR="008264F9" w:rsidRPr="006F4E6F">
        <w:rPr>
          <w:b/>
          <w:lang w:val="sq-AL"/>
        </w:rPr>
        <w:t>.</w:t>
      </w:r>
      <w:r w:rsidRPr="006F4E6F">
        <w:rPr>
          <w:b/>
          <w:lang w:val="sq-AL"/>
        </w:rPr>
        <w:t xml:space="preserve"> </w:t>
      </w:r>
    </w:p>
    <w:p w:rsidR="000A451A" w:rsidRPr="006F4E6F" w:rsidRDefault="00272A99" w:rsidP="000B4D70">
      <w:pPr>
        <w:spacing w:after="200" w:line="276" w:lineRule="auto"/>
        <w:jc w:val="both"/>
        <w:rPr>
          <w:color w:val="000000" w:themeColor="text1"/>
          <w:lang w:val="sq-AL"/>
        </w:rPr>
      </w:pPr>
      <w:r w:rsidRPr="006F4E6F">
        <w:rPr>
          <w:lang w:val="sq-AL"/>
        </w:rPr>
        <w:t>Propozimi i projektligjit “</w:t>
      </w:r>
      <w:r w:rsidR="00254151" w:rsidRPr="006F4E6F">
        <w:rPr>
          <w:lang w:val="sq-AL"/>
        </w:rPr>
        <w:t xml:space="preserve">Për </w:t>
      </w:r>
      <w:r w:rsidR="000A451A" w:rsidRPr="006F4E6F">
        <w:rPr>
          <w:lang w:val="sq-AL"/>
        </w:rPr>
        <w:t>disa</w:t>
      </w:r>
      <w:r w:rsidR="009515A0" w:rsidRPr="006F4E6F">
        <w:rPr>
          <w:lang w:val="sq-AL"/>
        </w:rPr>
        <w:t xml:space="preserve"> </w:t>
      </w:r>
      <w:r w:rsidR="00950677" w:rsidRPr="006F4E6F">
        <w:rPr>
          <w:lang w:val="sq-AL"/>
        </w:rPr>
        <w:t>shtes</w:t>
      </w:r>
      <w:r w:rsidR="00310FFB" w:rsidRPr="006F4E6F">
        <w:rPr>
          <w:lang w:val="sq-AL"/>
        </w:rPr>
        <w:t>a</w:t>
      </w:r>
      <w:r w:rsidR="00254151" w:rsidRPr="006F4E6F">
        <w:rPr>
          <w:lang w:val="sq-AL"/>
        </w:rPr>
        <w:t xml:space="preserve"> </w:t>
      </w:r>
      <w:r w:rsidR="00712C27">
        <w:rPr>
          <w:lang w:val="sq-AL"/>
        </w:rPr>
        <w:t xml:space="preserve">dhe </w:t>
      </w:r>
      <w:r w:rsidR="00712C27" w:rsidRPr="006F4E6F">
        <w:rPr>
          <w:lang w:val="sq-AL"/>
        </w:rPr>
        <w:t xml:space="preserve">ndryshime </w:t>
      </w:r>
      <w:r w:rsidR="00254151" w:rsidRPr="006F4E6F">
        <w:rPr>
          <w:lang w:val="sq-AL"/>
        </w:rPr>
        <w:t xml:space="preserve">në </w:t>
      </w:r>
      <w:r w:rsidR="008B5B3D" w:rsidRPr="006F4E6F">
        <w:rPr>
          <w:lang w:val="sq-AL"/>
        </w:rPr>
        <w:t>l</w:t>
      </w:r>
      <w:r w:rsidR="00E65F52" w:rsidRPr="006F4E6F">
        <w:rPr>
          <w:lang w:val="sq-AL"/>
        </w:rPr>
        <w:t xml:space="preserve">igjin </w:t>
      </w:r>
      <w:r w:rsidR="00254151" w:rsidRPr="006F4E6F">
        <w:rPr>
          <w:lang w:val="sq-AL"/>
        </w:rPr>
        <w:t>nr. 8438, datë 28.12.1998, “Për tatimin mbi të ardhurat”, të ndryshuar</w:t>
      </w:r>
      <w:r w:rsidRPr="006F4E6F">
        <w:rPr>
          <w:lang w:val="sq-AL"/>
        </w:rPr>
        <w:t xml:space="preserve"> është mbështetur në nenet: 78, 83, pika 1, dhe 155, të Kushtetutës së Republikës së Shqipërisë.</w:t>
      </w:r>
      <w:r w:rsidR="00733567" w:rsidRPr="006F4E6F">
        <w:rPr>
          <w:lang w:val="sq-AL"/>
        </w:rPr>
        <w:t xml:space="preserve"> </w:t>
      </w:r>
    </w:p>
    <w:p w:rsidR="00702282" w:rsidRPr="006F4E6F" w:rsidRDefault="002A217A" w:rsidP="00CD6BA7">
      <w:pPr>
        <w:spacing w:after="120" w:line="276" w:lineRule="auto"/>
        <w:jc w:val="both"/>
        <w:rPr>
          <w:color w:val="000000" w:themeColor="text1"/>
          <w:lang w:val="sq-AL"/>
        </w:rPr>
      </w:pPr>
      <w:r w:rsidRPr="006F4E6F">
        <w:rPr>
          <w:color w:val="000000" w:themeColor="text1"/>
          <w:lang w:val="sq-AL"/>
        </w:rPr>
        <w:t>Ky projektligj synon:</w:t>
      </w:r>
    </w:p>
    <w:p w:rsidR="00A073E8" w:rsidRPr="00A073E8" w:rsidRDefault="00A073E8" w:rsidP="00A073E8">
      <w:pPr>
        <w:pStyle w:val="Default"/>
        <w:numPr>
          <w:ilvl w:val="0"/>
          <w:numId w:val="36"/>
        </w:numPr>
        <w:spacing w:line="276" w:lineRule="auto"/>
        <w:jc w:val="both"/>
        <w:rPr>
          <w:rFonts w:ascii="Times New Roman" w:hAnsi="Times New Roman" w:cs="Times New Roman"/>
        </w:rPr>
      </w:pPr>
      <w:r w:rsidRPr="00A073E8">
        <w:rPr>
          <w:rFonts w:ascii="Times New Roman" w:hAnsi="Times New Roman" w:cs="Times New Roman"/>
        </w:rPr>
        <w:t>Plot</w:t>
      </w:r>
      <w:r w:rsidR="007F5F2C">
        <w:rPr>
          <w:rFonts w:ascii="Times New Roman" w:hAnsi="Times New Roman" w:cs="Times New Roman"/>
        </w:rPr>
        <w:t>ë</w:t>
      </w:r>
      <w:r w:rsidRPr="00A073E8">
        <w:rPr>
          <w:rFonts w:ascii="Times New Roman" w:hAnsi="Times New Roman" w:cs="Times New Roman"/>
        </w:rPr>
        <w:t>simin e masave ligjore t</w:t>
      </w:r>
      <w:r w:rsidR="007F5F2C">
        <w:rPr>
          <w:rFonts w:ascii="Times New Roman" w:hAnsi="Times New Roman" w:cs="Times New Roman"/>
        </w:rPr>
        <w:t>ë</w:t>
      </w:r>
      <w:r w:rsidRPr="00A073E8">
        <w:rPr>
          <w:rFonts w:ascii="Times New Roman" w:hAnsi="Times New Roman" w:cs="Times New Roman"/>
        </w:rPr>
        <w:t xml:space="preserve"> parashikuara n</w:t>
      </w:r>
      <w:r w:rsidR="007F5F2C">
        <w:rPr>
          <w:rFonts w:ascii="Times New Roman" w:hAnsi="Times New Roman" w:cs="Times New Roman"/>
        </w:rPr>
        <w:t>ë</w:t>
      </w:r>
      <w:r w:rsidRPr="00A073E8">
        <w:rPr>
          <w:rFonts w:ascii="Times New Roman" w:hAnsi="Times New Roman" w:cs="Times New Roman"/>
        </w:rPr>
        <w:t xml:space="preserve"> Kapitullin 16 “Tatimet” t</w:t>
      </w:r>
      <w:r w:rsidR="007F5F2C">
        <w:rPr>
          <w:rFonts w:ascii="Times New Roman" w:hAnsi="Times New Roman" w:cs="Times New Roman"/>
        </w:rPr>
        <w:t>ë</w:t>
      </w:r>
      <w:r w:rsidRPr="00A073E8">
        <w:rPr>
          <w:rFonts w:ascii="Times New Roman" w:hAnsi="Times New Roman" w:cs="Times New Roman"/>
        </w:rPr>
        <w:t xml:space="preserve"> Planit Komb</w:t>
      </w:r>
      <w:r w:rsidR="007F5F2C">
        <w:rPr>
          <w:rFonts w:ascii="Times New Roman" w:hAnsi="Times New Roman" w:cs="Times New Roman"/>
        </w:rPr>
        <w:t>ë</w:t>
      </w:r>
      <w:r w:rsidRPr="00A073E8">
        <w:rPr>
          <w:rFonts w:ascii="Times New Roman" w:hAnsi="Times New Roman" w:cs="Times New Roman"/>
        </w:rPr>
        <w:t>tar p</w:t>
      </w:r>
      <w:r w:rsidR="007F5F2C">
        <w:rPr>
          <w:rFonts w:ascii="Times New Roman" w:hAnsi="Times New Roman" w:cs="Times New Roman"/>
        </w:rPr>
        <w:t>ë</w:t>
      </w:r>
      <w:r w:rsidRPr="00A073E8">
        <w:rPr>
          <w:rFonts w:ascii="Times New Roman" w:hAnsi="Times New Roman" w:cs="Times New Roman"/>
        </w:rPr>
        <w:t>r Integrimin Evropian 2019-2020</w:t>
      </w:r>
      <w:r w:rsidR="00712C27" w:rsidRPr="00A073E8">
        <w:rPr>
          <w:rFonts w:ascii="Times New Roman" w:hAnsi="Times New Roman" w:cs="Times New Roman"/>
        </w:rPr>
        <w:t>.</w:t>
      </w:r>
    </w:p>
    <w:p w:rsidR="00A073E8" w:rsidRPr="00A073E8" w:rsidRDefault="00A073E8" w:rsidP="00A073E8">
      <w:pPr>
        <w:pStyle w:val="Default"/>
        <w:numPr>
          <w:ilvl w:val="0"/>
          <w:numId w:val="36"/>
        </w:numPr>
        <w:spacing w:line="276" w:lineRule="auto"/>
        <w:jc w:val="both"/>
        <w:rPr>
          <w:rFonts w:ascii="Times New Roman" w:hAnsi="Times New Roman" w:cs="Times New Roman"/>
        </w:rPr>
      </w:pPr>
      <w:r w:rsidRPr="00A073E8">
        <w:rPr>
          <w:rStyle w:val="fontstyle01"/>
          <w:rFonts w:ascii="Times New Roman" w:hAnsi="Times New Roman" w:cs="Times New Roman"/>
        </w:rPr>
        <w:t>Transpozimin pjesërisht t</w:t>
      </w:r>
      <w:r w:rsidR="007F5F2C">
        <w:rPr>
          <w:rStyle w:val="fontstyle01"/>
          <w:rFonts w:ascii="Times New Roman" w:hAnsi="Times New Roman" w:cs="Times New Roman"/>
        </w:rPr>
        <w:t>ë</w:t>
      </w:r>
      <w:r w:rsidRPr="00A073E8">
        <w:rPr>
          <w:rStyle w:val="fontstyle01"/>
          <w:rFonts w:ascii="Times New Roman" w:hAnsi="Times New Roman" w:cs="Times New Roman"/>
        </w:rPr>
        <w:t xml:space="preserve"> Direktiv</w:t>
      </w:r>
      <w:r w:rsidR="007F5F2C">
        <w:rPr>
          <w:rStyle w:val="fontstyle01"/>
          <w:rFonts w:ascii="Times New Roman" w:hAnsi="Times New Roman" w:cs="Times New Roman"/>
        </w:rPr>
        <w:t>ë</w:t>
      </w:r>
      <w:r w:rsidRPr="00A073E8">
        <w:rPr>
          <w:rStyle w:val="fontstyle01"/>
          <w:rFonts w:ascii="Times New Roman" w:hAnsi="Times New Roman" w:cs="Times New Roman"/>
        </w:rPr>
        <w:t xml:space="preserve">s 2009/133/EC e </w:t>
      </w:r>
      <w:r w:rsidR="007F5F2C">
        <w:rPr>
          <w:rStyle w:val="fontstyle01"/>
          <w:rFonts w:ascii="Times New Roman" w:hAnsi="Times New Roman" w:cs="Times New Roman"/>
        </w:rPr>
        <w:t xml:space="preserve">dates </w:t>
      </w:r>
      <w:r w:rsidRPr="00A073E8">
        <w:rPr>
          <w:rStyle w:val="fontstyle01"/>
          <w:rFonts w:ascii="Times New Roman" w:hAnsi="Times New Roman" w:cs="Times New Roman"/>
        </w:rPr>
        <w:t xml:space="preserve">19 tetor 2009 </w:t>
      </w:r>
      <w:r w:rsidRPr="00A073E8">
        <w:rPr>
          <w:rFonts w:ascii="Times New Roman" w:hAnsi="Times New Roman" w:cs="Times New Roman"/>
          <w:b/>
        </w:rPr>
        <w:t>"</w:t>
      </w:r>
      <w:r w:rsidRPr="00A073E8">
        <w:rPr>
          <w:rFonts w:ascii="Times New Roman" w:hAnsi="Times New Roman" w:cs="Times New Roman"/>
        </w:rPr>
        <w:t xml:space="preserve">Për sistemin e përbashkët tatimor të zbatueshëm për bashkimin, ndarjen, ndarjen e pjesshme, transferimin e aktiveve dhe shkëmbimin e aksioneve midis shoqërive të shteteve të ndryshme anëtare dhe për transferimin e adresës së regjistruar të një </w:t>
      </w:r>
      <w:r w:rsidR="00702702">
        <w:rPr>
          <w:rFonts w:ascii="Times New Roman" w:hAnsi="Times New Roman" w:cs="Times New Roman"/>
        </w:rPr>
        <w:t>SE</w:t>
      </w:r>
      <w:r w:rsidRPr="00A073E8">
        <w:rPr>
          <w:rFonts w:ascii="Times New Roman" w:hAnsi="Times New Roman" w:cs="Times New Roman"/>
        </w:rPr>
        <w:t xml:space="preserve">-je ose </w:t>
      </w:r>
      <w:r w:rsidR="00702702">
        <w:rPr>
          <w:rFonts w:ascii="Times New Roman" w:hAnsi="Times New Roman" w:cs="Times New Roman"/>
        </w:rPr>
        <w:t>SCE</w:t>
      </w:r>
      <w:r w:rsidRPr="00A073E8">
        <w:rPr>
          <w:rFonts w:ascii="Times New Roman" w:hAnsi="Times New Roman" w:cs="Times New Roman"/>
        </w:rPr>
        <w:t>-je midis shteteve anëtare</w:t>
      </w:r>
      <w:r w:rsidR="00702702">
        <w:rPr>
          <w:rFonts w:ascii="Times New Roman" w:hAnsi="Times New Roman" w:cs="Times New Roman"/>
        </w:rPr>
        <w:t>.</w:t>
      </w:r>
      <w:r w:rsidRPr="00A073E8">
        <w:rPr>
          <w:rFonts w:ascii="Times New Roman" w:hAnsi="Times New Roman" w:cs="Times New Roman"/>
        </w:rPr>
        <w:t>"</w:t>
      </w:r>
    </w:p>
    <w:p w:rsidR="00A073E8" w:rsidRPr="00A073E8" w:rsidRDefault="00A073E8" w:rsidP="007F5F2C">
      <w:pPr>
        <w:pStyle w:val="Default"/>
        <w:spacing w:line="276" w:lineRule="auto"/>
        <w:ind w:left="720"/>
        <w:jc w:val="both"/>
        <w:rPr>
          <w:rFonts w:ascii="Times New Roman" w:hAnsi="Times New Roman" w:cs="Times New Roman"/>
        </w:rPr>
      </w:pPr>
    </w:p>
    <w:p w:rsidR="00A073E8" w:rsidRPr="00A073E8" w:rsidRDefault="00A073E8" w:rsidP="00A073E8">
      <w:pPr>
        <w:pStyle w:val="Default"/>
        <w:spacing w:line="276" w:lineRule="auto"/>
        <w:ind w:left="720"/>
        <w:jc w:val="both"/>
        <w:rPr>
          <w:rFonts w:ascii="Times New Roman" w:hAnsi="Times New Roman" w:cs="Times New Roman"/>
        </w:rPr>
      </w:pPr>
    </w:p>
    <w:p w:rsidR="00FE5E8C" w:rsidRPr="00FE5E8C" w:rsidRDefault="00272A99" w:rsidP="00FE5E8C">
      <w:pPr>
        <w:numPr>
          <w:ilvl w:val="0"/>
          <w:numId w:val="1"/>
        </w:numPr>
        <w:spacing w:after="120" w:line="276" w:lineRule="auto"/>
        <w:ind w:left="720"/>
        <w:jc w:val="both"/>
        <w:rPr>
          <w:b/>
          <w:lang w:val="sq-AL"/>
        </w:rPr>
      </w:pPr>
      <w:r w:rsidRPr="006F4E6F">
        <w:rPr>
          <w:b/>
          <w:lang w:val="sq-AL"/>
        </w:rPr>
        <w:t>VLERËSIMI I PROJEKT-AKTIT NË RAPORT ME PROGRAMIN POLITIK TË KËSHILLIT TË MINISTRAVE, ME PROGRAMIN ANALITIK TË AKTEVE DHE DOKUMENTE TË TJERA POLITIKE</w:t>
      </w:r>
      <w:r w:rsidR="008264F9" w:rsidRPr="006F4E6F">
        <w:rPr>
          <w:b/>
          <w:lang w:val="sq-AL"/>
        </w:rPr>
        <w:t>.</w:t>
      </w:r>
      <w:r w:rsidRPr="006F4E6F">
        <w:rPr>
          <w:b/>
          <w:lang w:val="sq-AL"/>
        </w:rPr>
        <w:t xml:space="preserve"> </w:t>
      </w:r>
    </w:p>
    <w:p w:rsidR="00CD6BA7" w:rsidRDefault="000A451A" w:rsidP="00CD6BA7">
      <w:pPr>
        <w:spacing w:after="120" w:line="276" w:lineRule="auto"/>
        <w:jc w:val="both"/>
        <w:rPr>
          <w:lang w:val="sq-AL"/>
        </w:rPr>
      </w:pPr>
      <w:r w:rsidRPr="006F4E6F">
        <w:rPr>
          <w:lang w:val="sq-AL"/>
        </w:rPr>
        <w:t>Ky projektligj</w:t>
      </w:r>
      <w:r w:rsidR="0042567E" w:rsidRPr="006F4E6F">
        <w:rPr>
          <w:lang w:val="sq-AL"/>
        </w:rPr>
        <w:t xml:space="preserve"> </w:t>
      </w:r>
      <w:r w:rsidR="008B5B3D" w:rsidRPr="006F4E6F">
        <w:rPr>
          <w:lang w:val="sq-AL"/>
        </w:rPr>
        <w:t xml:space="preserve">është </w:t>
      </w:r>
      <w:r w:rsidR="00272A99" w:rsidRPr="006F4E6F">
        <w:rPr>
          <w:lang w:val="sq-AL"/>
        </w:rPr>
        <w:t>parashikuar në programin analitik të projekt-akteve që do të paraqiten për shqyrtim në Këshillin e Ministrave gja</w:t>
      </w:r>
      <w:r w:rsidR="00CA6581">
        <w:rPr>
          <w:lang w:val="sq-AL"/>
        </w:rPr>
        <w:t>të vitit 2020</w:t>
      </w:r>
      <w:r w:rsidR="00272A99" w:rsidRPr="006F4E6F">
        <w:rPr>
          <w:lang w:val="sq-AL"/>
        </w:rPr>
        <w:t>.</w:t>
      </w:r>
    </w:p>
    <w:p w:rsidR="00A56710" w:rsidRPr="006F4E6F" w:rsidRDefault="00A56710" w:rsidP="00A56710">
      <w:pPr>
        <w:jc w:val="both"/>
        <w:rPr>
          <w:lang w:val="sq-AL"/>
        </w:rPr>
      </w:pPr>
    </w:p>
    <w:p w:rsidR="00272A99" w:rsidRDefault="00272A99" w:rsidP="00CD6BA7">
      <w:pPr>
        <w:numPr>
          <w:ilvl w:val="0"/>
          <w:numId w:val="1"/>
        </w:numPr>
        <w:spacing w:after="120" w:line="276" w:lineRule="auto"/>
        <w:ind w:left="720"/>
        <w:jc w:val="both"/>
        <w:rPr>
          <w:b/>
          <w:lang w:val="sq-AL"/>
        </w:rPr>
      </w:pPr>
      <w:r w:rsidRPr="006F4E6F">
        <w:rPr>
          <w:b/>
          <w:lang w:val="sq-AL"/>
        </w:rPr>
        <w:t>ARGUMENTIMI I PROJEKTLIGJIT LIDHUR ME PËRPARËSITË, PROBLEMATIKAT, EFEKTET E PRITSHME</w:t>
      </w:r>
      <w:r w:rsidR="008264F9" w:rsidRPr="006F4E6F">
        <w:rPr>
          <w:b/>
          <w:lang w:val="sq-AL"/>
        </w:rPr>
        <w:t>.</w:t>
      </w:r>
      <w:r w:rsidRPr="006F4E6F">
        <w:rPr>
          <w:b/>
          <w:lang w:val="sq-AL"/>
        </w:rPr>
        <w:t xml:space="preserve"> </w:t>
      </w:r>
    </w:p>
    <w:p w:rsidR="007F5F2C" w:rsidRPr="00702702" w:rsidRDefault="007F5F2C" w:rsidP="00702702">
      <w:pPr>
        <w:pStyle w:val="Default"/>
        <w:spacing w:line="276" w:lineRule="auto"/>
        <w:jc w:val="both"/>
        <w:rPr>
          <w:rFonts w:ascii="Times New Roman" w:hAnsi="Times New Roman" w:cs="Times New Roman"/>
        </w:rPr>
      </w:pPr>
      <w:r w:rsidRPr="00702702">
        <w:rPr>
          <w:rFonts w:ascii="Times New Roman" w:hAnsi="Times New Roman" w:cs="Times New Roman"/>
        </w:rPr>
        <w:t>N</w:t>
      </w:r>
      <w:r w:rsidR="00702702">
        <w:rPr>
          <w:rFonts w:ascii="Times New Roman" w:hAnsi="Times New Roman" w:cs="Times New Roman"/>
        </w:rPr>
        <w:t>ë</w:t>
      </w:r>
      <w:r w:rsidRPr="00702702">
        <w:rPr>
          <w:rFonts w:ascii="Times New Roman" w:hAnsi="Times New Roman" w:cs="Times New Roman"/>
        </w:rPr>
        <w:t xml:space="preserve"> kuad</w:t>
      </w:r>
      <w:r w:rsidR="00702702">
        <w:rPr>
          <w:rFonts w:ascii="Times New Roman" w:hAnsi="Times New Roman" w:cs="Times New Roman"/>
        </w:rPr>
        <w:t>ë</w:t>
      </w:r>
      <w:r w:rsidRPr="00702702">
        <w:rPr>
          <w:rFonts w:ascii="Times New Roman" w:hAnsi="Times New Roman" w:cs="Times New Roman"/>
        </w:rPr>
        <w:t>r t</w:t>
      </w:r>
      <w:r w:rsidR="00702702">
        <w:rPr>
          <w:rFonts w:ascii="Times New Roman" w:hAnsi="Times New Roman" w:cs="Times New Roman"/>
        </w:rPr>
        <w:t>ë</w:t>
      </w:r>
      <w:r w:rsidRPr="00702702">
        <w:rPr>
          <w:rFonts w:ascii="Times New Roman" w:hAnsi="Times New Roman" w:cs="Times New Roman"/>
        </w:rPr>
        <w:t xml:space="preserve"> plotësimit t</w:t>
      </w:r>
      <w:r w:rsidR="00702702">
        <w:rPr>
          <w:rFonts w:ascii="Times New Roman" w:hAnsi="Times New Roman" w:cs="Times New Roman"/>
        </w:rPr>
        <w:t>ë</w:t>
      </w:r>
      <w:r w:rsidRPr="00702702">
        <w:rPr>
          <w:rFonts w:ascii="Times New Roman" w:hAnsi="Times New Roman" w:cs="Times New Roman"/>
        </w:rPr>
        <w:t xml:space="preserve"> masave ligjore të parashikuara në Kapitullin 16 “Tatimet” të Planit Kombëtar për Integrimin Evropian 2019-2020, si dhe t</w:t>
      </w:r>
      <w:r w:rsidR="00702702">
        <w:rPr>
          <w:rFonts w:ascii="Times New Roman" w:hAnsi="Times New Roman" w:cs="Times New Roman"/>
        </w:rPr>
        <w:t>ë</w:t>
      </w:r>
      <w:r w:rsidRPr="00702702">
        <w:rPr>
          <w:rFonts w:ascii="Times New Roman" w:hAnsi="Times New Roman" w:cs="Times New Roman"/>
        </w:rPr>
        <w:t xml:space="preserve"> angazhimit t</w:t>
      </w:r>
      <w:r w:rsidR="00702702">
        <w:rPr>
          <w:rFonts w:ascii="Times New Roman" w:hAnsi="Times New Roman" w:cs="Times New Roman"/>
        </w:rPr>
        <w:t>ë</w:t>
      </w:r>
      <w:r w:rsidRPr="00702702">
        <w:rPr>
          <w:rFonts w:ascii="Times New Roman" w:hAnsi="Times New Roman" w:cs="Times New Roman"/>
        </w:rPr>
        <w:t xml:space="preserve"> </w:t>
      </w:r>
      <w:r w:rsidRPr="00702702">
        <w:rPr>
          <w:rFonts w:ascii="Times New Roman" w:eastAsia="Times New Roman" w:hAnsi="Times New Roman" w:cs="Times New Roman"/>
          <w:lang w:val="sq-AL"/>
        </w:rPr>
        <w:t>Shqipëris</w:t>
      </w:r>
      <w:r w:rsidR="00702702">
        <w:rPr>
          <w:rFonts w:ascii="Times New Roman" w:eastAsia="Times New Roman" w:hAnsi="Times New Roman" w:cs="Times New Roman"/>
          <w:lang w:val="sq-AL"/>
        </w:rPr>
        <w:t>ë</w:t>
      </w:r>
      <w:r w:rsidR="00A073E8" w:rsidRPr="00A073E8">
        <w:rPr>
          <w:rFonts w:ascii="Times New Roman" w:eastAsia="Times New Roman" w:hAnsi="Times New Roman" w:cs="Times New Roman"/>
          <w:lang w:val="sq-AL"/>
        </w:rPr>
        <w:t xml:space="preserve"> për pranimin në B</w:t>
      </w:r>
      <w:r w:rsidRPr="00702702">
        <w:rPr>
          <w:rFonts w:ascii="Times New Roman" w:eastAsia="Times New Roman" w:hAnsi="Times New Roman" w:cs="Times New Roman"/>
          <w:lang w:val="sq-AL"/>
        </w:rPr>
        <w:t>.</w:t>
      </w:r>
      <w:r w:rsidR="00A073E8" w:rsidRPr="00A073E8">
        <w:rPr>
          <w:rFonts w:ascii="Times New Roman" w:eastAsia="Times New Roman" w:hAnsi="Times New Roman" w:cs="Times New Roman"/>
          <w:lang w:val="sq-AL"/>
        </w:rPr>
        <w:t>E</w:t>
      </w:r>
      <w:r w:rsidRPr="00702702">
        <w:rPr>
          <w:rFonts w:ascii="Times New Roman" w:eastAsia="Times New Roman" w:hAnsi="Times New Roman" w:cs="Times New Roman"/>
          <w:lang w:val="sq-AL"/>
        </w:rPr>
        <w:t xml:space="preserve">, transpozimi i legjislacionit fiskal </w:t>
      </w:r>
      <w:r w:rsidR="00702702">
        <w:rPr>
          <w:rFonts w:ascii="Times New Roman" w:eastAsia="Times New Roman" w:hAnsi="Times New Roman" w:cs="Times New Roman"/>
          <w:lang w:val="sq-AL"/>
        </w:rPr>
        <w:t>ë</w:t>
      </w:r>
      <w:r w:rsidRPr="00702702">
        <w:rPr>
          <w:rFonts w:ascii="Times New Roman" w:eastAsia="Times New Roman" w:hAnsi="Times New Roman" w:cs="Times New Roman"/>
          <w:lang w:val="sq-AL"/>
        </w:rPr>
        <w:t>sht</w:t>
      </w:r>
      <w:r w:rsidR="00702702">
        <w:rPr>
          <w:rFonts w:ascii="Times New Roman" w:eastAsia="Times New Roman" w:hAnsi="Times New Roman" w:cs="Times New Roman"/>
          <w:lang w:val="sq-AL"/>
        </w:rPr>
        <w:t>ë</w:t>
      </w:r>
      <w:r w:rsidRPr="00702702">
        <w:rPr>
          <w:rFonts w:ascii="Times New Roman" w:eastAsia="Times New Roman" w:hAnsi="Times New Roman" w:cs="Times New Roman"/>
          <w:lang w:val="sq-AL"/>
        </w:rPr>
        <w:t xml:space="preserve"> nj</w:t>
      </w:r>
      <w:r w:rsidR="00702702">
        <w:rPr>
          <w:rFonts w:ascii="Times New Roman" w:eastAsia="Times New Roman" w:hAnsi="Times New Roman" w:cs="Times New Roman"/>
          <w:lang w:val="sq-AL"/>
        </w:rPr>
        <w:t>ë</w:t>
      </w:r>
      <w:r w:rsidRPr="00702702">
        <w:rPr>
          <w:rFonts w:ascii="Times New Roman" w:eastAsia="Times New Roman" w:hAnsi="Times New Roman" w:cs="Times New Roman"/>
          <w:lang w:val="sq-AL"/>
        </w:rPr>
        <w:t xml:space="preserve"> nd</w:t>
      </w:r>
      <w:r w:rsidR="00702702">
        <w:rPr>
          <w:rFonts w:ascii="Times New Roman" w:eastAsia="Times New Roman" w:hAnsi="Times New Roman" w:cs="Times New Roman"/>
          <w:lang w:val="sq-AL"/>
        </w:rPr>
        <w:t>ë</w:t>
      </w:r>
      <w:r w:rsidRPr="00702702">
        <w:rPr>
          <w:rFonts w:ascii="Times New Roman" w:eastAsia="Times New Roman" w:hAnsi="Times New Roman" w:cs="Times New Roman"/>
          <w:lang w:val="sq-AL"/>
        </w:rPr>
        <w:t>r element</w:t>
      </w:r>
      <w:r w:rsidR="00702702">
        <w:rPr>
          <w:rFonts w:ascii="Times New Roman" w:eastAsia="Times New Roman" w:hAnsi="Times New Roman" w:cs="Times New Roman"/>
          <w:lang w:val="sq-AL"/>
        </w:rPr>
        <w:t>ë</w:t>
      </w:r>
      <w:r w:rsidRPr="00702702">
        <w:rPr>
          <w:rFonts w:ascii="Times New Roman" w:eastAsia="Times New Roman" w:hAnsi="Times New Roman" w:cs="Times New Roman"/>
          <w:lang w:val="sq-AL"/>
        </w:rPr>
        <w:t>t e r</w:t>
      </w:r>
      <w:r w:rsidR="00702702">
        <w:rPr>
          <w:rFonts w:ascii="Times New Roman" w:eastAsia="Times New Roman" w:hAnsi="Times New Roman" w:cs="Times New Roman"/>
          <w:lang w:val="sq-AL"/>
        </w:rPr>
        <w:t>ë</w:t>
      </w:r>
      <w:r w:rsidRPr="00702702">
        <w:rPr>
          <w:rFonts w:ascii="Times New Roman" w:eastAsia="Times New Roman" w:hAnsi="Times New Roman" w:cs="Times New Roman"/>
          <w:lang w:val="sq-AL"/>
        </w:rPr>
        <w:t>nd</w:t>
      </w:r>
      <w:r w:rsidR="00702702">
        <w:rPr>
          <w:rFonts w:ascii="Times New Roman" w:eastAsia="Times New Roman" w:hAnsi="Times New Roman" w:cs="Times New Roman"/>
          <w:lang w:val="sq-AL"/>
        </w:rPr>
        <w:t>ë</w:t>
      </w:r>
      <w:r w:rsidRPr="00702702">
        <w:rPr>
          <w:rFonts w:ascii="Times New Roman" w:eastAsia="Times New Roman" w:hAnsi="Times New Roman" w:cs="Times New Roman"/>
          <w:lang w:val="sq-AL"/>
        </w:rPr>
        <w:t>sish</w:t>
      </w:r>
      <w:r w:rsidR="00702702">
        <w:rPr>
          <w:rFonts w:ascii="Times New Roman" w:eastAsia="Times New Roman" w:hAnsi="Times New Roman" w:cs="Times New Roman"/>
          <w:lang w:val="sq-AL"/>
        </w:rPr>
        <w:t>ë</w:t>
      </w:r>
      <w:r w:rsidRPr="00702702">
        <w:rPr>
          <w:rFonts w:ascii="Times New Roman" w:eastAsia="Times New Roman" w:hAnsi="Times New Roman" w:cs="Times New Roman"/>
          <w:lang w:val="sq-AL"/>
        </w:rPr>
        <w:t>m t</w:t>
      </w:r>
      <w:r w:rsidR="00702702">
        <w:rPr>
          <w:rFonts w:ascii="Times New Roman" w:eastAsia="Times New Roman" w:hAnsi="Times New Roman" w:cs="Times New Roman"/>
          <w:lang w:val="sq-AL"/>
        </w:rPr>
        <w:t>ë</w:t>
      </w:r>
      <w:r w:rsidRPr="00702702">
        <w:rPr>
          <w:rFonts w:ascii="Times New Roman" w:eastAsia="Times New Roman" w:hAnsi="Times New Roman" w:cs="Times New Roman"/>
          <w:lang w:val="sq-AL"/>
        </w:rPr>
        <w:t xml:space="preserve"> k</w:t>
      </w:r>
      <w:r w:rsidR="00702702">
        <w:rPr>
          <w:rFonts w:ascii="Times New Roman" w:eastAsia="Times New Roman" w:hAnsi="Times New Roman" w:cs="Times New Roman"/>
          <w:lang w:val="sq-AL"/>
        </w:rPr>
        <w:t>ë</w:t>
      </w:r>
      <w:r w:rsidRPr="00702702">
        <w:rPr>
          <w:rFonts w:ascii="Times New Roman" w:eastAsia="Times New Roman" w:hAnsi="Times New Roman" w:cs="Times New Roman"/>
          <w:lang w:val="sq-AL"/>
        </w:rPr>
        <w:t>tij procesi.  P</w:t>
      </w:r>
      <w:r w:rsidR="00702702">
        <w:rPr>
          <w:rFonts w:ascii="Times New Roman" w:eastAsia="Times New Roman" w:hAnsi="Times New Roman" w:cs="Times New Roman"/>
          <w:lang w:val="sq-AL"/>
        </w:rPr>
        <w:t>ë</w:t>
      </w:r>
      <w:r w:rsidRPr="00702702">
        <w:rPr>
          <w:rFonts w:ascii="Times New Roman" w:eastAsia="Times New Roman" w:hAnsi="Times New Roman" w:cs="Times New Roman"/>
          <w:lang w:val="sq-AL"/>
        </w:rPr>
        <w:t>r k</w:t>
      </w:r>
      <w:r w:rsidR="00702702">
        <w:rPr>
          <w:rFonts w:ascii="Times New Roman" w:eastAsia="Times New Roman" w:hAnsi="Times New Roman" w:cs="Times New Roman"/>
          <w:lang w:val="sq-AL"/>
        </w:rPr>
        <w:t>ë</w:t>
      </w:r>
      <w:r w:rsidRPr="00702702">
        <w:rPr>
          <w:rFonts w:ascii="Times New Roman" w:eastAsia="Times New Roman" w:hAnsi="Times New Roman" w:cs="Times New Roman"/>
          <w:lang w:val="sq-AL"/>
        </w:rPr>
        <w:t>t</w:t>
      </w:r>
      <w:r w:rsidR="00702702">
        <w:rPr>
          <w:rFonts w:ascii="Times New Roman" w:eastAsia="Times New Roman" w:hAnsi="Times New Roman" w:cs="Times New Roman"/>
          <w:lang w:val="sq-AL"/>
        </w:rPr>
        <w:t>ë</w:t>
      </w:r>
      <w:r w:rsidRPr="00702702">
        <w:rPr>
          <w:rFonts w:ascii="Times New Roman" w:eastAsia="Times New Roman" w:hAnsi="Times New Roman" w:cs="Times New Roman"/>
          <w:lang w:val="sq-AL"/>
        </w:rPr>
        <w:t xml:space="preserve"> arsye </w:t>
      </w:r>
      <w:r w:rsidR="00EE4783" w:rsidRPr="00702702">
        <w:rPr>
          <w:rStyle w:val="fontstyle01"/>
          <w:rFonts w:ascii="Times New Roman" w:hAnsi="Times New Roman" w:cs="Times New Roman"/>
        </w:rPr>
        <w:t>t</w:t>
      </w:r>
      <w:r w:rsidRPr="00702702">
        <w:rPr>
          <w:rStyle w:val="fontstyle01"/>
          <w:rFonts w:ascii="Times New Roman" w:hAnsi="Times New Roman" w:cs="Times New Roman"/>
        </w:rPr>
        <w:t>ranspozimi i pjessh</w:t>
      </w:r>
      <w:r w:rsidR="00702702">
        <w:rPr>
          <w:rStyle w:val="fontstyle01"/>
          <w:rFonts w:ascii="Times New Roman" w:hAnsi="Times New Roman" w:cs="Times New Roman"/>
        </w:rPr>
        <w:t>ë</w:t>
      </w:r>
      <w:r w:rsidRPr="00702702">
        <w:rPr>
          <w:rStyle w:val="fontstyle01"/>
          <w:rFonts w:ascii="Times New Roman" w:hAnsi="Times New Roman" w:cs="Times New Roman"/>
        </w:rPr>
        <w:t xml:space="preserve">m i Direktivës 2009/133/EC </w:t>
      </w:r>
      <w:r w:rsidRPr="00702702">
        <w:rPr>
          <w:rFonts w:ascii="Times New Roman" w:hAnsi="Times New Roman" w:cs="Times New Roman"/>
          <w:b/>
        </w:rPr>
        <w:t>"</w:t>
      </w:r>
      <w:r w:rsidRPr="00702702">
        <w:rPr>
          <w:rFonts w:ascii="Times New Roman" w:hAnsi="Times New Roman" w:cs="Times New Roman"/>
        </w:rPr>
        <w:t xml:space="preserve">Për sistemin e përbashkët tatimor të zbatueshëm për bashkimin, ndarjen, ndarjen e pjesshme, transferimin e aktiveve dhe shkëmbimin e aksioneve midis shoqërive të shteteve të ndryshme anëtare dhe për transferimin e adresës së regjistruar të një </w:t>
      </w:r>
      <w:r w:rsidR="00536DE8">
        <w:rPr>
          <w:rFonts w:ascii="Times New Roman" w:hAnsi="Times New Roman" w:cs="Times New Roman"/>
        </w:rPr>
        <w:t>SE</w:t>
      </w:r>
      <w:r w:rsidRPr="00702702">
        <w:rPr>
          <w:rFonts w:ascii="Times New Roman" w:hAnsi="Times New Roman" w:cs="Times New Roman"/>
        </w:rPr>
        <w:t xml:space="preserve">-je ose </w:t>
      </w:r>
      <w:r w:rsidR="00536DE8">
        <w:rPr>
          <w:rFonts w:ascii="Times New Roman" w:hAnsi="Times New Roman" w:cs="Times New Roman"/>
        </w:rPr>
        <w:t>SCE</w:t>
      </w:r>
      <w:r w:rsidRPr="00702702">
        <w:rPr>
          <w:rFonts w:ascii="Times New Roman" w:hAnsi="Times New Roman" w:cs="Times New Roman"/>
        </w:rPr>
        <w:t xml:space="preserve">-je midis shteteve </w:t>
      </w:r>
      <w:r w:rsidRPr="00702702">
        <w:rPr>
          <w:rFonts w:ascii="Times New Roman" w:hAnsi="Times New Roman" w:cs="Times New Roman"/>
        </w:rPr>
        <w:lastRenderedPageBreak/>
        <w:t>anëtare"</w:t>
      </w:r>
      <w:r w:rsidR="00A073E8" w:rsidRPr="00702702">
        <w:rPr>
          <w:rFonts w:ascii="Times New Roman" w:eastAsia="Times New Roman" w:hAnsi="Times New Roman" w:cs="Times New Roman"/>
          <w:lang w:val="sq-AL"/>
        </w:rPr>
        <w:t xml:space="preserve">, </w:t>
      </w:r>
      <w:r w:rsidRPr="00702702">
        <w:rPr>
          <w:rFonts w:ascii="Times New Roman" w:eastAsia="Times New Roman" w:hAnsi="Times New Roman" w:cs="Times New Roman"/>
          <w:lang w:val="sq-AL"/>
        </w:rPr>
        <w:t xml:space="preserve">parashikon </w:t>
      </w:r>
      <w:r w:rsidR="00A073E8" w:rsidRPr="00702702">
        <w:rPr>
          <w:rFonts w:ascii="Times New Roman" w:eastAsia="Times New Roman" w:hAnsi="Times New Roman" w:cs="Times New Roman"/>
          <w:lang w:val="sq-AL"/>
        </w:rPr>
        <w:t>shtyrj</w:t>
      </w:r>
      <w:r w:rsidRPr="00702702">
        <w:rPr>
          <w:rFonts w:ascii="Times New Roman" w:eastAsia="Times New Roman" w:hAnsi="Times New Roman" w:cs="Times New Roman"/>
          <w:lang w:val="sq-AL"/>
        </w:rPr>
        <w:t>en</w:t>
      </w:r>
      <w:r w:rsidR="00A073E8" w:rsidRPr="00702702">
        <w:rPr>
          <w:rFonts w:ascii="Times New Roman" w:eastAsia="Times New Roman" w:hAnsi="Times New Roman" w:cs="Times New Roman"/>
          <w:lang w:val="sq-AL"/>
        </w:rPr>
        <w:t xml:space="preserve"> e fitimeve të kapitalit </w:t>
      </w:r>
      <w:r w:rsidRPr="00702702">
        <w:rPr>
          <w:rFonts w:ascii="Times New Roman" w:eastAsia="Times New Roman" w:hAnsi="Times New Roman" w:cs="Times New Roman"/>
          <w:lang w:val="sq-AL"/>
        </w:rPr>
        <w:t>p</w:t>
      </w:r>
      <w:r w:rsidR="00702702">
        <w:rPr>
          <w:rFonts w:ascii="Times New Roman" w:eastAsia="Times New Roman" w:hAnsi="Times New Roman" w:cs="Times New Roman"/>
          <w:lang w:val="sq-AL"/>
        </w:rPr>
        <w:t>ë</w:t>
      </w:r>
      <w:r w:rsidRPr="00702702">
        <w:rPr>
          <w:rFonts w:ascii="Times New Roman" w:eastAsia="Times New Roman" w:hAnsi="Times New Roman" w:cs="Times New Roman"/>
          <w:lang w:val="sq-AL"/>
        </w:rPr>
        <w:t>r operacionet e p</w:t>
      </w:r>
      <w:r w:rsidR="00702702">
        <w:rPr>
          <w:rFonts w:ascii="Times New Roman" w:eastAsia="Times New Roman" w:hAnsi="Times New Roman" w:cs="Times New Roman"/>
          <w:lang w:val="sq-AL"/>
        </w:rPr>
        <w:t>ë</w:t>
      </w:r>
      <w:r w:rsidRPr="00702702">
        <w:rPr>
          <w:rFonts w:ascii="Times New Roman" w:eastAsia="Times New Roman" w:hAnsi="Times New Roman" w:cs="Times New Roman"/>
          <w:lang w:val="sq-AL"/>
        </w:rPr>
        <w:t xml:space="preserve">rcaktuara </w:t>
      </w:r>
      <w:r w:rsidR="00A073E8" w:rsidRPr="00702702">
        <w:rPr>
          <w:rFonts w:ascii="Times New Roman" w:eastAsia="Times New Roman" w:hAnsi="Times New Roman" w:cs="Times New Roman"/>
          <w:lang w:val="sq-AL"/>
        </w:rPr>
        <w:t xml:space="preserve">nga </w:t>
      </w:r>
      <w:r w:rsidRPr="00702702">
        <w:rPr>
          <w:rFonts w:ascii="Times New Roman" w:eastAsia="Times New Roman" w:hAnsi="Times New Roman" w:cs="Times New Roman"/>
          <w:lang w:val="sq-AL"/>
        </w:rPr>
        <w:t xml:space="preserve">kjo </w:t>
      </w:r>
      <w:r w:rsidR="00A073E8" w:rsidRPr="00702702">
        <w:rPr>
          <w:rFonts w:ascii="Times New Roman" w:eastAsia="Times New Roman" w:hAnsi="Times New Roman" w:cs="Times New Roman"/>
          <w:lang w:val="sq-AL"/>
        </w:rPr>
        <w:t>Direktiv</w:t>
      </w:r>
      <w:r w:rsidR="00702702">
        <w:rPr>
          <w:rFonts w:ascii="Times New Roman" w:eastAsia="Times New Roman" w:hAnsi="Times New Roman" w:cs="Times New Roman"/>
          <w:lang w:val="sq-AL"/>
        </w:rPr>
        <w:t>ë</w:t>
      </w:r>
      <w:r w:rsidRPr="00702702">
        <w:rPr>
          <w:rFonts w:ascii="Times New Roman" w:eastAsia="Times New Roman" w:hAnsi="Times New Roman" w:cs="Times New Roman"/>
          <w:lang w:val="sq-AL"/>
        </w:rPr>
        <w:t xml:space="preserve">. </w:t>
      </w:r>
    </w:p>
    <w:p w:rsidR="000773F0" w:rsidRPr="00702702" w:rsidRDefault="000773F0" w:rsidP="00702702">
      <w:pPr>
        <w:pStyle w:val="Default"/>
        <w:spacing w:line="276" w:lineRule="auto"/>
        <w:jc w:val="both"/>
        <w:rPr>
          <w:rFonts w:ascii="Times New Roman" w:eastAsia="Times New Roman" w:hAnsi="Times New Roman" w:cs="Times New Roman"/>
          <w:lang w:val="sq-AL"/>
        </w:rPr>
      </w:pPr>
    </w:p>
    <w:p w:rsidR="007F5F2C" w:rsidRPr="00702702" w:rsidRDefault="007F5F2C" w:rsidP="00702702">
      <w:pPr>
        <w:pStyle w:val="Default"/>
        <w:spacing w:line="276" w:lineRule="auto"/>
        <w:jc w:val="both"/>
        <w:rPr>
          <w:rFonts w:ascii="Times New Roman" w:eastAsia="Times New Roman" w:hAnsi="Times New Roman" w:cs="Times New Roman"/>
          <w:lang w:val="sq-AL"/>
        </w:rPr>
      </w:pPr>
      <w:r w:rsidRPr="00702702">
        <w:rPr>
          <w:rFonts w:ascii="Times New Roman" w:eastAsia="Times New Roman" w:hAnsi="Times New Roman" w:cs="Times New Roman"/>
          <w:lang w:val="sq-AL"/>
        </w:rPr>
        <w:t>Duke qen</w:t>
      </w:r>
      <w:r w:rsidR="00702702">
        <w:rPr>
          <w:rFonts w:ascii="Times New Roman" w:eastAsia="Times New Roman" w:hAnsi="Times New Roman" w:cs="Times New Roman"/>
          <w:lang w:val="sq-AL"/>
        </w:rPr>
        <w:t>ë</w:t>
      </w:r>
      <w:r w:rsidRPr="00702702">
        <w:rPr>
          <w:rFonts w:ascii="Times New Roman" w:eastAsia="Times New Roman" w:hAnsi="Times New Roman" w:cs="Times New Roman"/>
          <w:lang w:val="sq-AL"/>
        </w:rPr>
        <w:t xml:space="preserve"> se Shqip</w:t>
      </w:r>
      <w:r w:rsidR="00702702">
        <w:rPr>
          <w:rFonts w:ascii="Times New Roman" w:eastAsia="Times New Roman" w:hAnsi="Times New Roman" w:cs="Times New Roman"/>
          <w:lang w:val="sq-AL"/>
        </w:rPr>
        <w:t>ë</w:t>
      </w:r>
      <w:r w:rsidRPr="00702702">
        <w:rPr>
          <w:rFonts w:ascii="Times New Roman" w:eastAsia="Times New Roman" w:hAnsi="Times New Roman" w:cs="Times New Roman"/>
          <w:lang w:val="sq-AL"/>
        </w:rPr>
        <w:t xml:space="preserve">ria akoma nuk </w:t>
      </w:r>
      <w:r w:rsidR="00702702">
        <w:rPr>
          <w:rFonts w:ascii="Times New Roman" w:eastAsia="Times New Roman" w:hAnsi="Times New Roman" w:cs="Times New Roman"/>
          <w:lang w:val="sq-AL"/>
        </w:rPr>
        <w:t>ë</w:t>
      </w:r>
      <w:r w:rsidRPr="00702702">
        <w:rPr>
          <w:rFonts w:ascii="Times New Roman" w:eastAsia="Times New Roman" w:hAnsi="Times New Roman" w:cs="Times New Roman"/>
          <w:lang w:val="sq-AL"/>
        </w:rPr>
        <w:t>sht</w:t>
      </w:r>
      <w:r w:rsidR="00702702">
        <w:rPr>
          <w:rFonts w:ascii="Times New Roman" w:eastAsia="Times New Roman" w:hAnsi="Times New Roman" w:cs="Times New Roman"/>
          <w:lang w:val="sq-AL"/>
        </w:rPr>
        <w:t>ë</w:t>
      </w:r>
      <w:r w:rsidRPr="00702702">
        <w:rPr>
          <w:rFonts w:ascii="Times New Roman" w:eastAsia="Times New Roman" w:hAnsi="Times New Roman" w:cs="Times New Roman"/>
          <w:lang w:val="sq-AL"/>
        </w:rPr>
        <w:t xml:space="preserve"> an</w:t>
      </w:r>
      <w:r w:rsidR="00702702">
        <w:rPr>
          <w:rFonts w:ascii="Times New Roman" w:eastAsia="Times New Roman" w:hAnsi="Times New Roman" w:cs="Times New Roman"/>
          <w:lang w:val="sq-AL"/>
        </w:rPr>
        <w:t>ë</w:t>
      </w:r>
      <w:r w:rsidRPr="00702702">
        <w:rPr>
          <w:rFonts w:ascii="Times New Roman" w:eastAsia="Times New Roman" w:hAnsi="Times New Roman" w:cs="Times New Roman"/>
          <w:lang w:val="sq-AL"/>
        </w:rPr>
        <w:t>tare e B.E  dhe si e till</w:t>
      </w:r>
      <w:r w:rsidR="00702702">
        <w:rPr>
          <w:rFonts w:ascii="Times New Roman" w:eastAsia="Times New Roman" w:hAnsi="Times New Roman" w:cs="Times New Roman"/>
          <w:lang w:val="sq-AL"/>
        </w:rPr>
        <w:t>ë</w:t>
      </w:r>
      <w:r w:rsidRPr="00702702">
        <w:rPr>
          <w:rFonts w:ascii="Times New Roman" w:eastAsia="Times New Roman" w:hAnsi="Times New Roman" w:cs="Times New Roman"/>
          <w:lang w:val="sq-AL"/>
        </w:rPr>
        <w:t xml:space="preserve"> nuk mund t</w:t>
      </w:r>
      <w:r w:rsidR="00702702">
        <w:rPr>
          <w:rFonts w:ascii="Times New Roman" w:eastAsia="Times New Roman" w:hAnsi="Times New Roman" w:cs="Times New Roman"/>
          <w:lang w:val="sq-AL"/>
        </w:rPr>
        <w:t>ë</w:t>
      </w:r>
      <w:r w:rsidRPr="00702702">
        <w:rPr>
          <w:rFonts w:ascii="Times New Roman" w:eastAsia="Times New Roman" w:hAnsi="Times New Roman" w:cs="Times New Roman"/>
          <w:lang w:val="sq-AL"/>
        </w:rPr>
        <w:t xml:space="preserve"> operoj</w:t>
      </w:r>
      <w:r w:rsidR="00702702">
        <w:rPr>
          <w:rFonts w:ascii="Times New Roman" w:eastAsia="Times New Roman" w:hAnsi="Times New Roman" w:cs="Times New Roman"/>
          <w:lang w:val="sq-AL"/>
        </w:rPr>
        <w:t>ë</w:t>
      </w:r>
      <w:r w:rsidRPr="00702702">
        <w:rPr>
          <w:rFonts w:ascii="Times New Roman" w:eastAsia="Times New Roman" w:hAnsi="Times New Roman" w:cs="Times New Roman"/>
          <w:lang w:val="sq-AL"/>
        </w:rPr>
        <w:t xml:space="preserve"> me t</w:t>
      </w:r>
      <w:r w:rsidR="00702702">
        <w:rPr>
          <w:rFonts w:ascii="Times New Roman" w:eastAsia="Times New Roman" w:hAnsi="Times New Roman" w:cs="Times New Roman"/>
          <w:lang w:val="sq-AL"/>
        </w:rPr>
        <w:t>ë</w:t>
      </w:r>
      <w:r w:rsidRPr="00702702">
        <w:rPr>
          <w:rFonts w:ascii="Times New Roman" w:eastAsia="Times New Roman" w:hAnsi="Times New Roman" w:cs="Times New Roman"/>
          <w:lang w:val="sq-AL"/>
        </w:rPr>
        <w:t xml:space="preserve"> nj</w:t>
      </w:r>
      <w:r w:rsidR="00702702">
        <w:rPr>
          <w:rFonts w:ascii="Times New Roman" w:eastAsia="Times New Roman" w:hAnsi="Times New Roman" w:cs="Times New Roman"/>
          <w:lang w:val="sq-AL"/>
        </w:rPr>
        <w:t>ë</w:t>
      </w:r>
      <w:r w:rsidRPr="00702702">
        <w:rPr>
          <w:rFonts w:ascii="Times New Roman" w:eastAsia="Times New Roman" w:hAnsi="Times New Roman" w:cs="Times New Roman"/>
          <w:lang w:val="sq-AL"/>
        </w:rPr>
        <w:t>jtat rregulla me shtetet e tjera an</w:t>
      </w:r>
      <w:r w:rsidR="00702702">
        <w:rPr>
          <w:rFonts w:ascii="Times New Roman" w:eastAsia="Times New Roman" w:hAnsi="Times New Roman" w:cs="Times New Roman"/>
          <w:lang w:val="sq-AL"/>
        </w:rPr>
        <w:t>ë</w:t>
      </w:r>
      <w:r w:rsidRPr="00702702">
        <w:rPr>
          <w:rFonts w:ascii="Times New Roman" w:eastAsia="Times New Roman" w:hAnsi="Times New Roman" w:cs="Times New Roman"/>
          <w:lang w:val="sq-AL"/>
        </w:rPr>
        <w:t>tare n</w:t>
      </w:r>
      <w:r w:rsidR="00702702">
        <w:rPr>
          <w:rFonts w:ascii="Times New Roman" w:eastAsia="Times New Roman" w:hAnsi="Times New Roman" w:cs="Times New Roman"/>
          <w:lang w:val="sq-AL"/>
        </w:rPr>
        <w:t>ë</w:t>
      </w:r>
      <w:r w:rsidRPr="00702702">
        <w:rPr>
          <w:rFonts w:ascii="Times New Roman" w:eastAsia="Times New Roman" w:hAnsi="Times New Roman" w:cs="Times New Roman"/>
          <w:lang w:val="sq-AL"/>
        </w:rPr>
        <w:t xml:space="preserve"> tregun europian, u pa e arsyeshme q</w:t>
      </w:r>
      <w:r w:rsidR="00702702">
        <w:rPr>
          <w:rFonts w:ascii="Times New Roman" w:eastAsia="Times New Roman" w:hAnsi="Times New Roman" w:cs="Times New Roman"/>
          <w:lang w:val="sq-AL"/>
        </w:rPr>
        <w:t>ë</w:t>
      </w:r>
      <w:r w:rsidR="00A073E8" w:rsidRPr="00702702">
        <w:rPr>
          <w:rFonts w:ascii="Times New Roman" w:eastAsia="Times New Roman" w:hAnsi="Times New Roman" w:cs="Times New Roman"/>
          <w:lang w:val="sq-AL"/>
        </w:rPr>
        <w:t xml:space="preserve"> në këtë fazë </w:t>
      </w:r>
      <w:r w:rsidRPr="00702702">
        <w:rPr>
          <w:rFonts w:ascii="Times New Roman" w:eastAsia="Times New Roman" w:hAnsi="Times New Roman" w:cs="Times New Roman"/>
          <w:lang w:val="sq-AL"/>
        </w:rPr>
        <w:t>shtyrja e fitimeve të kapitalit p</w:t>
      </w:r>
      <w:r w:rsidR="00702702">
        <w:rPr>
          <w:rFonts w:ascii="Times New Roman" w:eastAsia="Times New Roman" w:hAnsi="Times New Roman" w:cs="Times New Roman"/>
          <w:lang w:val="sq-AL"/>
        </w:rPr>
        <w:t>ë</w:t>
      </w:r>
      <w:r w:rsidRPr="00702702">
        <w:rPr>
          <w:rFonts w:ascii="Times New Roman" w:eastAsia="Times New Roman" w:hAnsi="Times New Roman" w:cs="Times New Roman"/>
          <w:lang w:val="sq-AL"/>
        </w:rPr>
        <w:t xml:space="preserve">r </w:t>
      </w:r>
      <w:r w:rsidR="00702702">
        <w:rPr>
          <w:rFonts w:ascii="Times New Roman" w:eastAsia="Times New Roman" w:hAnsi="Times New Roman" w:cs="Times New Roman"/>
          <w:lang w:val="sq-AL"/>
        </w:rPr>
        <w:t>operacionet e</w:t>
      </w:r>
      <w:r w:rsidRPr="00702702">
        <w:rPr>
          <w:rFonts w:ascii="Times New Roman" w:eastAsia="Times New Roman" w:hAnsi="Times New Roman" w:cs="Times New Roman"/>
          <w:lang w:val="sq-AL"/>
        </w:rPr>
        <w:t xml:space="preserve"> </w:t>
      </w:r>
      <w:r w:rsidR="00702702">
        <w:rPr>
          <w:rFonts w:ascii="Times New Roman" w:hAnsi="Times New Roman" w:cs="Times New Roman"/>
        </w:rPr>
        <w:t>bashkimeve, ndarjeve, ndarjeve</w:t>
      </w:r>
      <w:r w:rsidRPr="00702702">
        <w:rPr>
          <w:rFonts w:ascii="Times New Roman" w:hAnsi="Times New Roman" w:cs="Times New Roman"/>
        </w:rPr>
        <w:t xml:space="preserve"> </w:t>
      </w:r>
      <w:r w:rsidR="00702702">
        <w:rPr>
          <w:rFonts w:ascii="Times New Roman" w:hAnsi="Times New Roman" w:cs="Times New Roman"/>
        </w:rPr>
        <w:t>të</w:t>
      </w:r>
      <w:r w:rsidRPr="00702702">
        <w:rPr>
          <w:rFonts w:ascii="Times New Roman" w:hAnsi="Times New Roman" w:cs="Times New Roman"/>
        </w:rPr>
        <w:t xml:space="preserve"> pjesshme, transferimet e aktiveve dhe shkëmbimet e aksioneve nd</w:t>
      </w:r>
      <w:r w:rsidR="00702702">
        <w:rPr>
          <w:rFonts w:ascii="Times New Roman" w:hAnsi="Times New Roman" w:cs="Times New Roman"/>
        </w:rPr>
        <w:t>ë</w:t>
      </w:r>
      <w:r w:rsidRPr="00702702">
        <w:rPr>
          <w:rFonts w:ascii="Times New Roman" w:hAnsi="Times New Roman" w:cs="Times New Roman"/>
        </w:rPr>
        <w:t>rmjet shoqërive t</w:t>
      </w:r>
      <w:r w:rsidR="00702702">
        <w:rPr>
          <w:rFonts w:ascii="Times New Roman" w:hAnsi="Times New Roman" w:cs="Times New Roman"/>
        </w:rPr>
        <w:t>ë</w:t>
      </w:r>
      <w:r w:rsidRPr="00702702">
        <w:rPr>
          <w:rFonts w:ascii="Times New Roman" w:hAnsi="Times New Roman" w:cs="Times New Roman"/>
        </w:rPr>
        <w:t xml:space="preserve"> parashikohet p</w:t>
      </w:r>
      <w:r w:rsidR="00702702">
        <w:rPr>
          <w:rFonts w:ascii="Times New Roman" w:hAnsi="Times New Roman" w:cs="Times New Roman"/>
        </w:rPr>
        <w:t>ë</w:t>
      </w:r>
      <w:r w:rsidRPr="00702702">
        <w:rPr>
          <w:rFonts w:ascii="Times New Roman" w:hAnsi="Times New Roman" w:cs="Times New Roman"/>
        </w:rPr>
        <w:t>r shoq</w:t>
      </w:r>
      <w:r w:rsidR="00702702">
        <w:rPr>
          <w:rFonts w:ascii="Times New Roman" w:hAnsi="Times New Roman" w:cs="Times New Roman"/>
        </w:rPr>
        <w:t>ë</w:t>
      </w:r>
      <w:r w:rsidRPr="00702702">
        <w:rPr>
          <w:rFonts w:ascii="Times New Roman" w:hAnsi="Times New Roman" w:cs="Times New Roman"/>
        </w:rPr>
        <w:t>rit</w:t>
      </w:r>
      <w:r w:rsidR="00702702">
        <w:rPr>
          <w:rFonts w:ascii="Times New Roman" w:hAnsi="Times New Roman" w:cs="Times New Roman"/>
        </w:rPr>
        <w:t>ë</w:t>
      </w:r>
      <w:r w:rsidRPr="00702702">
        <w:rPr>
          <w:rFonts w:ascii="Times New Roman" w:hAnsi="Times New Roman" w:cs="Times New Roman"/>
        </w:rPr>
        <w:t xml:space="preserve"> rezidente shqiptare,</w:t>
      </w:r>
      <w:r w:rsidR="00A073E8" w:rsidRPr="00702702">
        <w:rPr>
          <w:rFonts w:ascii="Times New Roman" w:eastAsia="Times New Roman" w:hAnsi="Times New Roman" w:cs="Times New Roman"/>
          <w:lang w:val="sq-AL"/>
        </w:rPr>
        <w:t xml:space="preserve">. Kjo do të lejojë që bizneset shqiptare të rriten normalisht pa pengesa tatimore dhe pa krijuar rreziqe të panevojshme buxhetore. </w:t>
      </w:r>
    </w:p>
    <w:p w:rsidR="000773F0" w:rsidRPr="00702702" w:rsidRDefault="000773F0" w:rsidP="00702702">
      <w:pPr>
        <w:pStyle w:val="Default"/>
        <w:spacing w:line="276" w:lineRule="auto"/>
        <w:jc w:val="both"/>
        <w:rPr>
          <w:rFonts w:ascii="Times New Roman" w:eastAsia="Times New Roman" w:hAnsi="Times New Roman" w:cs="Times New Roman"/>
          <w:lang w:val="sq-AL"/>
        </w:rPr>
      </w:pPr>
    </w:p>
    <w:p w:rsidR="00A073E8" w:rsidRPr="00702702" w:rsidRDefault="00702702" w:rsidP="00702702">
      <w:pPr>
        <w:pStyle w:val="Default"/>
        <w:spacing w:line="276" w:lineRule="auto"/>
        <w:jc w:val="both"/>
        <w:rPr>
          <w:rFonts w:ascii="Times New Roman" w:hAnsi="Times New Roman" w:cs="Times New Roman"/>
        </w:rPr>
      </w:pPr>
      <w:r>
        <w:rPr>
          <w:rFonts w:ascii="Times New Roman" w:eastAsia="Times New Roman" w:hAnsi="Times New Roman" w:cs="Times New Roman"/>
          <w:lang w:val="sq-AL"/>
        </w:rPr>
        <w:t>N</w:t>
      </w:r>
      <w:r w:rsidR="00536DE8">
        <w:rPr>
          <w:rFonts w:ascii="Times New Roman" w:eastAsia="Times New Roman" w:hAnsi="Times New Roman" w:cs="Times New Roman"/>
          <w:lang w:val="sq-AL"/>
        </w:rPr>
        <w:t>ë</w:t>
      </w:r>
      <w:r>
        <w:rPr>
          <w:rFonts w:ascii="Times New Roman" w:eastAsia="Times New Roman" w:hAnsi="Times New Roman" w:cs="Times New Roman"/>
          <w:lang w:val="sq-AL"/>
        </w:rPr>
        <w:t xml:space="preserve"> koh</w:t>
      </w:r>
      <w:r w:rsidR="00536DE8">
        <w:rPr>
          <w:rFonts w:ascii="Times New Roman" w:eastAsia="Times New Roman" w:hAnsi="Times New Roman" w:cs="Times New Roman"/>
          <w:lang w:val="sq-AL"/>
        </w:rPr>
        <w:t>ë</w:t>
      </w:r>
      <w:r>
        <w:rPr>
          <w:rFonts w:ascii="Times New Roman" w:eastAsia="Times New Roman" w:hAnsi="Times New Roman" w:cs="Times New Roman"/>
          <w:lang w:val="sq-AL"/>
        </w:rPr>
        <w:t>n q</w:t>
      </w:r>
      <w:r w:rsidR="00536DE8">
        <w:rPr>
          <w:rFonts w:ascii="Times New Roman" w:eastAsia="Times New Roman" w:hAnsi="Times New Roman" w:cs="Times New Roman"/>
          <w:lang w:val="sq-AL"/>
        </w:rPr>
        <w:t>ë</w:t>
      </w:r>
      <w:r w:rsidR="00A073E8" w:rsidRPr="00702702">
        <w:rPr>
          <w:rFonts w:ascii="Times New Roman" w:eastAsia="Times New Roman" w:hAnsi="Times New Roman" w:cs="Times New Roman"/>
          <w:lang w:val="sq-AL"/>
        </w:rPr>
        <w:t xml:space="preserve"> data e pranimit të</w:t>
      </w:r>
      <w:r>
        <w:rPr>
          <w:rFonts w:ascii="Times New Roman" w:eastAsia="Times New Roman" w:hAnsi="Times New Roman" w:cs="Times New Roman"/>
          <w:lang w:val="sq-AL"/>
        </w:rPr>
        <w:t xml:space="preserve"> Shqip</w:t>
      </w:r>
      <w:r w:rsidR="00536DE8">
        <w:rPr>
          <w:rFonts w:ascii="Times New Roman" w:eastAsia="Times New Roman" w:hAnsi="Times New Roman" w:cs="Times New Roman"/>
          <w:lang w:val="sq-AL"/>
        </w:rPr>
        <w:t>ë</w:t>
      </w:r>
      <w:r>
        <w:rPr>
          <w:rFonts w:ascii="Times New Roman" w:eastAsia="Times New Roman" w:hAnsi="Times New Roman" w:cs="Times New Roman"/>
          <w:lang w:val="sq-AL"/>
        </w:rPr>
        <w:t>ris</w:t>
      </w:r>
      <w:r w:rsidR="00536DE8">
        <w:rPr>
          <w:rFonts w:ascii="Times New Roman" w:eastAsia="Times New Roman" w:hAnsi="Times New Roman" w:cs="Times New Roman"/>
          <w:lang w:val="sq-AL"/>
        </w:rPr>
        <w:t>ë</w:t>
      </w:r>
      <w:r>
        <w:rPr>
          <w:rFonts w:ascii="Times New Roman" w:eastAsia="Times New Roman" w:hAnsi="Times New Roman" w:cs="Times New Roman"/>
          <w:lang w:val="sq-AL"/>
        </w:rPr>
        <w:t xml:space="preserve"> n</w:t>
      </w:r>
      <w:r w:rsidR="00536DE8">
        <w:rPr>
          <w:rFonts w:ascii="Times New Roman" w:eastAsia="Times New Roman" w:hAnsi="Times New Roman" w:cs="Times New Roman"/>
          <w:lang w:val="sq-AL"/>
        </w:rPr>
        <w:t>ë</w:t>
      </w:r>
      <w:r>
        <w:rPr>
          <w:rFonts w:ascii="Times New Roman" w:eastAsia="Times New Roman" w:hAnsi="Times New Roman" w:cs="Times New Roman"/>
          <w:lang w:val="sq-AL"/>
        </w:rPr>
        <w:t xml:space="preserve"> B.E</w:t>
      </w:r>
      <w:r w:rsidR="00A073E8" w:rsidRPr="00702702">
        <w:rPr>
          <w:rFonts w:ascii="Times New Roman" w:eastAsia="Times New Roman" w:hAnsi="Times New Roman" w:cs="Times New Roman"/>
          <w:lang w:val="sq-AL"/>
        </w:rPr>
        <w:t xml:space="preserve"> </w:t>
      </w:r>
      <w:r>
        <w:rPr>
          <w:rFonts w:ascii="Times New Roman" w:eastAsia="Times New Roman" w:hAnsi="Times New Roman" w:cs="Times New Roman"/>
          <w:lang w:val="sq-AL"/>
        </w:rPr>
        <w:t>do të jetë</w:t>
      </w:r>
      <w:r w:rsidR="00A073E8" w:rsidRPr="00702702">
        <w:rPr>
          <w:rFonts w:ascii="Times New Roman" w:eastAsia="Times New Roman" w:hAnsi="Times New Roman" w:cs="Times New Roman"/>
          <w:lang w:val="sq-AL"/>
        </w:rPr>
        <w:t xml:space="preserve"> më konkrete, </w:t>
      </w:r>
      <w:r w:rsidR="007F5F2C" w:rsidRPr="00702702">
        <w:rPr>
          <w:rFonts w:ascii="Times New Roman" w:eastAsia="Times New Roman" w:hAnsi="Times New Roman" w:cs="Times New Roman"/>
          <w:lang w:val="sq-AL"/>
        </w:rPr>
        <w:t>transpozimi i pjessh</w:t>
      </w:r>
      <w:r>
        <w:rPr>
          <w:rFonts w:ascii="Times New Roman" w:eastAsia="Times New Roman" w:hAnsi="Times New Roman" w:cs="Times New Roman"/>
          <w:lang w:val="sq-AL"/>
        </w:rPr>
        <w:t>ë</w:t>
      </w:r>
      <w:r w:rsidR="007F5F2C" w:rsidRPr="00702702">
        <w:rPr>
          <w:rFonts w:ascii="Times New Roman" w:eastAsia="Times New Roman" w:hAnsi="Times New Roman" w:cs="Times New Roman"/>
          <w:lang w:val="sq-AL"/>
        </w:rPr>
        <w:t>m i Direktiv</w:t>
      </w:r>
      <w:r>
        <w:rPr>
          <w:rFonts w:ascii="Times New Roman" w:eastAsia="Times New Roman" w:hAnsi="Times New Roman" w:cs="Times New Roman"/>
          <w:lang w:val="sq-AL"/>
        </w:rPr>
        <w:t>ë</w:t>
      </w:r>
      <w:r w:rsidR="007F5F2C" w:rsidRPr="00702702">
        <w:rPr>
          <w:rFonts w:ascii="Times New Roman" w:eastAsia="Times New Roman" w:hAnsi="Times New Roman" w:cs="Times New Roman"/>
          <w:lang w:val="sq-AL"/>
        </w:rPr>
        <w:t>s do</w:t>
      </w:r>
      <w:r w:rsidR="00A073E8" w:rsidRPr="00702702">
        <w:rPr>
          <w:rFonts w:ascii="Times New Roman" w:eastAsia="Times New Roman" w:hAnsi="Times New Roman" w:cs="Times New Roman"/>
          <w:lang w:val="sq-AL"/>
        </w:rPr>
        <w:t xml:space="preserve"> të zgjerohet </w:t>
      </w:r>
      <w:r w:rsidR="007F5F2C" w:rsidRPr="00702702">
        <w:rPr>
          <w:rFonts w:ascii="Times New Roman" w:eastAsia="Times New Roman" w:hAnsi="Times New Roman" w:cs="Times New Roman"/>
          <w:lang w:val="sq-AL"/>
        </w:rPr>
        <w:t>me q</w:t>
      </w:r>
      <w:r>
        <w:rPr>
          <w:rFonts w:ascii="Times New Roman" w:eastAsia="Times New Roman" w:hAnsi="Times New Roman" w:cs="Times New Roman"/>
          <w:lang w:val="sq-AL"/>
        </w:rPr>
        <w:t>ë</w:t>
      </w:r>
      <w:r w:rsidR="007F5F2C" w:rsidRPr="00702702">
        <w:rPr>
          <w:rFonts w:ascii="Times New Roman" w:eastAsia="Times New Roman" w:hAnsi="Times New Roman" w:cs="Times New Roman"/>
          <w:lang w:val="sq-AL"/>
        </w:rPr>
        <w:t>llim q</w:t>
      </w:r>
      <w:r>
        <w:rPr>
          <w:rFonts w:ascii="Times New Roman" w:eastAsia="Times New Roman" w:hAnsi="Times New Roman" w:cs="Times New Roman"/>
          <w:lang w:val="sq-AL"/>
        </w:rPr>
        <w:t>ë</w:t>
      </w:r>
      <w:r w:rsidR="007F5F2C" w:rsidRPr="00702702">
        <w:rPr>
          <w:rFonts w:ascii="Times New Roman" w:eastAsia="Times New Roman" w:hAnsi="Times New Roman" w:cs="Times New Roman"/>
          <w:lang w:val="sq-AL"/>
        </w:rPr>
        <w:t xml:space="preserve"> parashikimet t</w:t>
      </w:r>
      <w:r>
        <w:rPr>
          <w:rFonts w:ascii="Times New Roman" w:eastAsia="Times New Roman" w:hAnsi="Times New Roman" w:cs="Times New Roman"/>
          <w:lang w:val="sq-AL"/>
        </w:rPr>
        <w:t>ë</w:t>
      </w:r>
      <w:r w:rsidR="007F5F2C" w:rsidRPr="00702702">
        <w:rPr>
          <w:rFonts w:ascii="Times New Roman" w:eastAsia="Times New Roman" w:hAnsi="Times New Roman" w:cs="Times New Roman"/>
          <w:lang w:val="sq-AL"/>
        </w:rPr>
        <w:t xml:space="preserve"> p</w:t>
      </w:r>
      <w:r>
        <w:rPr>
          <w:rFonts w:ascii="Times New Roman" w:eastAsia="Times New Roman" w:hAnsi="Times New Roman" w:cs="Times New Roman"/>
          <w:lang w:val="sq-AL"/>
        </w:rPr>
        <w:t>ë</w:t>
      </w:r>
      <w:r w:rsidR="007F5F2C" w:rsidRPr="00702702">
        <w:rPr>
          <w:rFonts w:ascii="Times New Roman" w:eastAsia="Times New Roman" w:hAnsi="Times New Roman" w:cs="Times New Roman"/>
          <w:lang w:val="sq-AL"/>
        </w:rPr>
        <w:t>rfshijn</w:t>
      </w:r>
      <w:r>
        <w:rPr>
          <w:rFonts w:ascii="Times New Roman" w:eastAsia="Times New Roman" w:hAnsi="Times New Roman" w:cs="Times New Roman"/>
          <w:lang w:val="sq-AL"/>
        </w:rPr>
        <w:t>ë</w:t>
      </w:r>
      <w:r w:rsidR="007F5F2C" w:rsidRPr="00702702">
        <w:rPr>
          <w:rFonts w:ascii="Times New Roman" w:eastAsia="Times New Roman" w:hAnsi="Times New Roman" w:cs="Times New Roman"/>
          <w:lang w:val="sq-AL"/>
        </w:rPr>
        <w:t xml:space="preserve"> dhe transaksionet dhe</w:t>
      </w:r>
      <w:r w:rsidR="00A073E8" w:rsidRPr="00702702">
        <w:rPr>
          <w:rFonts w:ascii="Times New Roman" w:eastAsia="Times New Roman" w:hAnsi="Times New Roman" w:cs="Times New Roman"/>
          <w:lang w:val="sq-AL"/>
        </w:rPr>
        <w:t xml:space="preserve"> situatat ndërkufitare të BE-së. Ndërkohë</w:t>
      </w:r>
      <w:r w:rsidR="00536DE8">
        <w:rPr>
          <w:rFonts w:ascii="Times New Roman" w:eastAsia="Times New Roman" w:hAnsi="Times New Roman" w:cs="Times New Roman"/>
          <w:lang w:val="sq-AL"/>
        </w:rPr>
        <w:t>,</w:t>
      </w:r>
      <w:r w:rsidR="00A073E8" w:rsidRPr="00702702">
        <w:rPr>
          <w:rFonts w:ascii="Times New Roman" w:eastAsia="Times New Roman" w:hAnsi="Times New Roman" w:cs="Times New Roman"/>
          <w:lang w:val="sq-AL"/>
        </w:rPr>
        <w:t xml:space="preserve"> si biznesi shqiptar ashtu edhe administrata tatimore mund të njihen me situatat dhe parimet e përgjithshme. Për momentin janë mbuluar katër situata: përfshirja e biznesit individual, transferimi i biznesit, shkëmbimi i aksioneve dhe bashkimi. </w:t>
      </w:r>
    </w:p>
    <w:p w:rsidR="00DB577D" w:rsidRPr="00702702" w:rsidRDefault="00DB577D" w:rsidP="007027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Times New Roman"/>
          <w:lang w:val="sq-AL" w:eastAsia="en-US"/>
        </w:rPr>
      </w:pPr>
    </w:p>
    <w:p w:rsidR="000773F0" w:rsidRPr="00702702" w:rsidRDefault="000773F0" w:rsidP="00702702">
      <w:pPr>
        <w:spacing w:after="240" w:line="276" w:lineRule="auto"/>
        <w:jc w:val="both"/>
      </w:pPr>
      <w:r w:rsidRPr="00702702">
        <w:t>Bashkimet, ndarjet, ndarjet e pjesshme, transferimet e aktiveve dhe shkëmbimet e aksioneve nd</w:t>
      </w:r>
      <w:r w:rsidR="00702702">
        <w:t>ë</w:t>
      </w:r>
      <w:r w:rsidRPr="00702702">
        <w:t>rmjet shoqërive, jan</w:t>
      </w:r>
      <w:r w:rsidR="00702702">
        <w:t>ë</w:t>
      </w:r>
      <w:r w:rsidRPr="00702702">
        <w:t xml:space="preserve"> operacione q</w:t>
      </w:r>
      <w:r w:rsidR="00702702">
        <w:t>ë</w:t>
      </w:r>
      <w:r w:rsidRPr="00702702">
        <w:t xml:space="preserve"> nuk duhen penguar nga kufizime, disavantazhe ose shtrembërime që mund t</w:t>
      </w:r>
      <w:r w:rsidR="00702702">
        <w:t>ë</w:t>
      </w:r>
      <w:r w:rsidRPr="00702702">
        <w:t xml:space="preserve"> </w:t>
      </w:r>
      <w:r w:rsidR="00702702">
        <w:t>lindin ng</w:t>
      </w:r>
      <w:r w:rsidRPr="00702702">
        <w:t>a hartimi dhe zbatimi i dispozitave tatimore q</w:t>
      </w:r>
      <w:r w:rsidR="00702702">
        <w:t>ë</w:t>
      </w:r>
      <w:r w:rsidRPr="00702702">
        <w:t xml:space="preserve"> par</w:t>
      </w:r>
      <w:r w:rsidR="00702702">
        <w:t>a</w:t>
      </w:r>
      <w:r w:rsidRPr="00702702">
        <w:t>shikojn</w:t>
      </w:r>
      <w:r w:rsidR="00702702">
        <w:t>ë</w:t>
      </w:r>
      <w:r w:rsidRPr="00702702">
        <w:t xml:space="preserve"> k</w:t>
      </w:r>
      <w:r w:rsidR="00702702">
        <w:t>ë</w:t>
      </w:r>
      <w:r w:rsidRPr="00702702">
        <w:t>to transaksione. Për këtë qëllim është e nevojshme, sa i përket këtyre operacioneve, të parashikohen rregulla tatimore që janë asnjanëse nga pikëpamja e konkurrencës, në mënyrë që të lejohen sipërmarrjet të përshtatin kërkesat e tregut të brendshëm për të rritur produktivitetin e tyre dhe për të përmirësuar fuqinë konkurruese në nivel ndërkombëtar.</w:t>
      </w:r>
    </w:p>
    <w:p w:rsidR="004D0259" w:rsidRPr="004D0259" w:rsidRDefault="004D0259" w:rsidP="004D0259">
      <w:pPr>
        <w:autoSpaceDE w:val="0"/>
        <w:autoSpaceDN w:val="0"/>
        <w:adjustRightInd w:val="0"/>
        <w:rPr>
          <w:rFonts w:eastAsiaTheme="minorHAnsi"/>
          <w:color w:val="000000"/>
          <w:lang w:val="en-US" w:eastAsia="en-US"/>
        </w:rPr>
      </w:pPr>
    </w:p>
    <w:p w:rsidR="0076440E" w:rsidRPr="006F4E6F" w:rsidRDefault="0076440E" w:rsidP="00A56710">
      <w:pPr>
        <w:autoSpaceDE w:val="0"/>
        <w:autoSpaceDN w:val="0"/>
        <w:adjustRightInd w:val="0"/>
        <w:jc w:val="both"/>
        <w:rPr>
          <w:rFonts w:eastAsia="Calibri"/>
          <w:color w:val="000000"/>
          <w:lang w:val="sq-AL" w:eastAsia="en-US"/>
        </w:rPr>
      </w:pPr>
    </w:p>
    <w:p w:rsidR="00272A99" w:rsidRPr="006F4E6F" w:rsidRDefault="00272A99" w:rsidP="00CD6BA7">
      <w:pPr>
        <w:numPr>
          <w:ilvl w:val="0"/>
          <w:numId w:val="1"/>
        </w:numPr>
        <w:spacing w:after="120" w:line="276" w:lineRule="auto"/>
        <w:ind w:left="720"/>
        <w:jc w:val="both"/>
        <w:rPr>
          <w:b/>
          <w:lang w:val="sq-AL"/>
        </w:rPr>
      </w:pPr>
      <w:r w:rsidRPr="006F4E6F">
        <w:rPr>
          <w:b/>
          <w:lang w:val="sq-AL"/>
        </w:rPr>
        <w:t>VLERËSIMI I LIGJSHMËRISË, KUSHTETUTESHMËRISË DHE HARMONIZIMI ME LEGJISLACIONIN NË FUQI VENDAS E NDËRKOMBËTAR</w:t>
      </w:r>
      <w:r w:rsidR="008264F9" w:rsidRPr="006F4E6F">
        <w:rPr>
          <w:b/>
          <w:lang w:val="sq-AL"/>
        </w:rPr>
        <w:t>.</w:t>
      </w:r>
      <w:r w:rsidRPr="006F4E6F">
        <w:rPr>
          <w:b/>
          <w:lang w:val="sq-AL"/>
        </w:rPr>
        <w:t xml:space="preserve"> </w:t>
      </w:r>
    </w:p>
    <w:p w:rsidR="0076440E" w:rsidRDefault="00272A99" w:rsidP="00CD6BA7">
      <w:pPr>
        <w:spacing w:after="120" w:line="276" w:lineRule="auto"/>
        <w:jc w:val="both"/>
        <w:rPr>
          <w:lang w:val="sq-AL"/>
        </w:rPr>
      </w:pPr>
      <w:r w:rsidRPr="006F4E6F">
        <w:rPr>
          <w:lang w:val="sq-AL"/>
        </w:rPr>
        <w:t>Projektligji është mbështetur në nenet: 78, 83, pika 1, dhe 155 të Kushtetutës.</w:t>
      </w:r>
    </w:p>
    <w:p w:rsidR="00A56710" w:rsidRPr="006F4E6F" w:rsidRDefault="00A56710" w:rsidP="00A56710">
      <w:pPr>
        <w:jc w:val="both"/>
        <w:rPr>
          <w:lang w:val="sq-AL"/>
        </w:rPr>
      </w:pPr>
    </w:p>
    <w:p w:rsidR="00D36DA5" w:rsidRPr="00400450" w:rsidRDefault="00272A99" w:rsidP="00CD6BA7">
      <w:pPr>
        <w:numPr>
          <w:ilvl w:val="0"/>
          <w:numId w:val="1"/>
        </w:numPr>
        <w:spacing w:after="120" w:line="276" w:lineRule="auto"/>
        <w:ind w:left="720"/>
        <w:jc w:val="both"/>
        <w:rPr>
          <w:b/>
          <w:lang w:val="sq-AL"/>
        </w:rPr>
      </w:pPr>
      <w:r w:rsidRPr="00400450">
        <w:rPr>
          <w:b/>
          <w:lang w:val="sq-AL"/>
        </w:rPr>
        <w:t>VLERËSIMI I SHKALLËS SË PËRAFRIMIT ME ACQUIS COMMUNAUITAIRE (PËR PROJEKT-AKTET NORMATIVE)</w:t>
      </w:r>
      <w:r w:rsidR="008264F9" w:rsidRPr="00400450">
        <w:rPr>
          <w:b/>
          <w:lang w:val="sq-AL"/>
        </w:rPr>
        <w:t>.</w:t>
      </w:r>
    </w:p>
    <w:p w:rsidR="0076440E" w:rsidRPr="00400450" w:rsidRDefault="00272A99" w:rsidP="00CD6BA7">
      <w:pPr>
        <w:spacing w:after="120" w:line="276" w:lineRule="auto"/>
        <w:jc w:val="both"/>
        <w:rPr>
          <w:lang w:val="sq-AL"/>
        </w:rPr>
      </w:pPr>
      <w:r w:rsidRPr="00400450">
        <w:rPr>
          <w:lang w:val="sq-AL"/>
        </w:rPr>
        <w:t>Projektligji nuk syn</w:t>
      </w:r>
      <w:r w:rsidR="003406D8" w:rsidRPr="00400450">
        <w:rPr>
          <w:lang w:val="sq-AL"/>
        </w:rPr>
        <w:t xml:space="preserve">on përafrimin me legjislacionin </w:t>
      </w:r>
      <w:r w:rsidRPr="00400450">
        <w:rPr>
          <w:lang w:val="sq-AL"/>
        </w:rPr>
        <w:t>komunitar.</w:t>
      </w:r>
    </w:p>
    <w:p w:rsidR="00A56710" w:rsidRPr="00400450" w:rsidRDefault="00A56710" w:rsidP="00A56710">
      <w:pPr>
        <w:jc w:val="both"/>
        <w:rPr>
          <w:lang w:val="sq-AL"/>
        </w:rPr>
      </w:pPr>
    </w:p>
    <w:p w:rsidR="00AA06AB" w:rsidRPr="00400450" w:rsidRDefault="00272A99" w:rsidP="00AC4EFB">
      <w:pPr>
        <w:numPr>
          <w:ilvl w:val="0"/>
          <w:numId w:val="1"/>
        </w:numPr>
        <w:spacing w:after="120" w:line="276" w:lineRule="auto"/>
        <w:ind w:hanging="1080"/>
        <w:jc w:val="both"/>
        <w:rPr>
          <w:b/>
          <w:lang w:val="sq-AL"/>
        </w:rPr>
      </w:pPr>
      <w:r w:rsidRPr="00400450">
        <w:rPr>
          <w:b/>
          <w:lang w:val="sq-AL"/>
        </w:rPr>
        <w:t xml:space="preserve"> PËRMBLEDHJE SHPJEGUESE E PËRMBAJTJES SË PROJEKT-AKTIT</w:t>
      </w:r>
      <w:r w:rsidR="00AC4EFB" w:rsidRPr="00400450">
        <w:rPr>
          <w:b/>
          <w:lang w:val="sq-AL"/>
        </w:rPr>
        <w:t>.</w:t>
      </w:r>
      <w:r w:rsidRPr="00400450">
        <w:rPr>
          <w:b/>
          <w:lang w:val="sq-AL"/>
        </w:rPr>
        <w:t xml:space="preserve"> </w:t>
      </w:r>
    </w:p>
    <w:p w:rsidR="00DB7691" w:rsidRPr="00400450" w:rsidRDefault="00310FFB" w:rsidP="00DB7691">
      <w:pPr>
        <w:pStyle w:val="Default"/>
        <w:spacing w:line="276" w:lineRule="auto"/>
        <w:jc w:val="both"/>
        <w:rPr>
          <w:rFonts w:ascii="Times New Roman" w:hAnsi="Times New Roman" w:cs="Times New Roman"/>
          <w:i/>
          <w:color w:val="auto"/>
          <w:lang w:val="sq-AL"/>
        </w:rPr>
      </w:pPr>
      <w:r w:rsidRPr="00400450">
        <w:rPr>
          <w:rFonts w:ascii="Times New Roman" w:hAnsi="Times New Roman" w:cs="Times New Roman"/>
          <w:color w:val="000000" w:themeColor="text1"/>
          <w:lang w:val="sq-AL"/>
        </w:rPr>
        <w:t xml:space="preserve">Neni 1, </w:t>
      </w:r>
      <w:r w:rsidR="00155657" w:rsidRPr="00400450">
        <w:rPr>
          <w:rFonts w:ascii="Times New Roman" w:hAnsi="Times New Roman" w:cs="Times New Roman"/>
          <w:color w:val="000000" w:themeColor="text1"/>
          <w:lang w:val="sq-AL"/>
        </w:rPr>
        <w:t>parashikon se</w:t>
      </w:r>
      <w:r w:rsidR="00AC4EFB" w:rsidRPr="00400450">
        <w:rPr>
          <w:color w:val="000000" w:themeColor="text1"/>
          <w:lang w:val="sq-AL"/>
        </w:rPr>
        <w:t xml:space="preserve"> </w:t>
      </w:r>
      <w:r w:rsidR="00DB7691" w:rsidRPr="00400450">
        <w:rPr>
          <w:rFonts w:ascii="Times New Roman" w:hAnsi="Times New Roman" w:cs="Times New Roman"/>
          <w:i/>
          <w:color w:val="auto"/>
        </w:rPr>
        <w:t>për qëllim të neneve 32/1 dhe 32/2 të ligjit “P</w:t>
      </w:r>
      <w:r w:rsidR="007F5F2C" w:rsidRPr="00400450">
        <w:rPr>
          <w:rFonts w:ascii="Times New Roman" w:hAnsi="Times New Roman" w:cs="Times New Roman"/>
          <w:i/>
          <w:color w:val="auto"/>
        </w:rPr>
        <w:t>ë</w:t>
      </w:r>
      <w:r w:rsidR="00DB7691" w:rsidRPr="00400450">
        <w:rPr>
          <w:rFonts w:ascii="Times New Roman" w:hAnsi="Times New Roman" w:cs="Times New Roman"/>
          <w:i/>
          <w:color w:val="auto"/>
        </w:rPr>
        <w:t>r tatimin mbi t</w:t>
      </w:r>
      <w:r w:rsidR="007F5F2C" w:rsidRPr="00400450">
        <w:rPr>
          <w:rFonts w:ascii="Times New Roman" w:hAnsi="Times New Roman" w:cs="Times New Roman"/>
          <w:i/>
          <w:color w:val="auto"/>
        </w:rPr>
        <w:t>ë</w:t>
      </w:r>
      <w:r w:rsidR="00DB7691" w:rsidRPr="00400450">
        <w:rPr>
          <w:rFonts w:ascii="Times New Roman" w:hAnsi="Times New Roman" w:cs="Times New Roman"/>
          <w:i/>
          <w:color w:val="auto"/>
        </w:rPr>
        <w:t xml:space="preserve"> ardhurat”, termat e mëposhtëm kanë këto kuptime:</w:t>
      </w:r>
    </w:p>
    <w:p w:rsidR="00DB7691" w:rsidRPr="00400450" w:rsidRDefault="00DB7691" w:rsidP="00702702">
      <w:pPr>
        <w:pStyle w:val="ListParagraph"/>
        <w:numPr>
          <w:ilvl w:val="0"/>
          <w:numId w:val="41"/>
        </w:numPr>
        <w:spacing w:line="276" w:lineRule="auto"/>
        <w:jc w:val="both"/>
        <w:rPr>
          <w:i/>
          <w:noProof/>
          <w:lang w:val="sq-AL"/>
        </w:rPr>
      </w:pPr>
      <w:r w:rsidRPr="00400450">
        <w:rPr>
          <w:i/>
          <w:noProof/>
          <w:lang w:val="sq-AL"/>
        </w:rPr>
        <w:lastRenderedPageBreak/>
        <w:t>"inkorporim/përthithje" nënkupton çdo transferim nga një person të të gjithë veprimtarive të tij të biznesit (personi transferues) në një Shoqëri (shoqëria pritëse) në shkëmbim të emetimit apo transferimit të aksioneve që përfaqësojnë kapitalin e shoqërisë pritëse.</w:t>
      </w:r>
    </w:p>
    <w:p w:rsidR="00DB7691" w:rsidRPr="00400450" w:rsidRDefault="00DB7691" w:rsidP="00DB7691">
      <w:pPr>
        <w:pStyle w:val="ListParagraph"/>
        <w:numPr>
          <w:ilvl w:val="0"/>
          <w:numId w:val="41"/>
        </w:numPr>
        <w:spacing w:line="276" w:lineRule="auto"/>
        <w:jc w:val="both"/>
        <w:rPr>
          <w:i/>
          <w:noProof/>
          <w:lang w:val="sq-AL"/>
        </w:rPr>
      </w:pPr>
      <w:r w:rsidRPr="00400450">
        <w:rPr>
          <w:i/>
          <w:noProof/>
          <w:lang w:val="sq-AL"/>
        </w:rPr>
        <w:t>“transferim i një dege të veprimtarisë" përfshin çdo operacion nëpërmjet të cilit një shoqëri (shoqëria transferuese) transferon pa u shpërbërë një ose më shumë degë të veprimtarisë të saj në një shoqëri tjetër (shoqëria pritëse) në këmbim të emetimit ose transferimit të aksioneve që përfaqësojnë kapitalin e shoqërisë pritëse. Një "degë e veprimtarisë”  nënkupton të gjitha aktivet dhe pasivet e një sektori të një shoqërie, të cilat nga një pikëpamje organizative përbëjnë një veprimtari të pavarur ekonomike, dhe përfshin gjithashtu transferimin e të gjitha aktiveve dhe pasiveve të një shoqërie.</w:t>
      </w:r>
    </w:p>
    <w:p w:rsidR="00DB7691" w:rsidRPr="00400450" w:rsidRDefault="00DB7691" w:rsidP="00DB7691">
      <w:pPr>
        <w:pStyle w:val="ListParagraph"/>
        <w:jc w:val="both"/>
        <w:rPr>
          <w:i/>
          <w:noProof/>
          <w:lang w:val="sq-AL"/>
        </w:rPr>
      </w:pPr>
    </w:p>
    <w:p w:rsidR="00DB7691" w:rsidRPr="00400450" w:rsidRDefault="00DB7691" w:rsidP="00DB7691">
      <w:pPr>
        <w:pStyle w:val="ListParagraph"/>
        <w:numPr>
          <w:ilvl w:val="0"/>
          <w:numId w:val="41"/>
        </w:numPr>
        <w:spacing w:line="276" w:lineRule="auto"/>
        <w:jc w:val="both"/>
        <w:rPr>
          <w:i/>
          <w:noProof/>
          <w:lang w:val="sq-AL"/>
        </w:rPr>
      </w:pPr>
      <w:r w:rsidRPr="00400450">
        <w:rPr>
          <w:i/>
          <w:noProof/>
          <w:lang w:val="sq-AL"/>
        </w:rPr>
        <w:t xml:space="preserve"> “shkëmbim i aksioneve”  nënkupton çdo operacion nëpërmjet të cilit një shoqëri (shoqëria blerëse”) përfiton një pjesmarrje në kapitalin e një shoqërie tjetër (shoqëria e blerë) në këmbim të emetimit ose transferimit tek aksioneri(rët) e shoqërisë së blerë, në këmbim për aksionet e tyre, të aksioneve që përfaqësojnë kapitalin e shoqërisë së blerë, dhe, nëse zbatohet, një pagesë e cilësuar në të holla, duke pasur parasysh se shoqëria blerëse merr shumicën e të drejtës së votës në shoqërinë e blerë me këtë operacion. </w:t>
      </w:r>
    </w:p>
    <w:p w:rsidR="00DB7691" w:rsidRPr="00400450" w:rsidRDefault="00DB7691" w:rsidP="00DB7691">
      <w:pPr>
        <w:pStyle w:val="ListParagraph"/>
        <w:numPr>
          <w:ilvl w:val="0"/>
          <w:numId w:val="41"/>
        </w:numPr>
        <w:spacing w:line="276" w:lineRule="auto"/>
        <w:jc w:val="both"/>
        <w:rPr>
          <w:i/>
          <w:noProof/>
          <w:lang w:val="sq-AL"/>
        </w:rPr>
      </w:pPr>
      <w:r w:rsidRPr="00400450">
        <w:rPr>
          <w:i/>
          <w:noProof/>
          <w:lang w:val="sq-AL"/>
        </w:rPr>
        <w:t xml:space="preserve"> “shkrirje/bashkim” do të thotë çdo operacion përmes së cilit:</w:t>
      </w:r>
    </w:p>
    <w:p w:rsidR="00DB7691" w:rsidRPr="00400450" w:rsidRDefault="00DB7691" w:rsidP="00DB7691">
      <w:pPr>
        <w:pStyle w:val="ListParagraph"/>
        <w:numPr>
          <w:ilvl w:val="0"/>
          <w:numId w:val="42"/>
        </w:numPr>
        <w:tabs>
          <w:tab w:val="clear" w:pos="360"/>
        </w:tabs>
        <w:spacing w:line="276" w:lineRule="auto"/>
        <w:ind w:left="720" w:firstLine="90"/>
        <w:jc w:val="both"/>
        <w:rPr>
          <w:i/>
          <w:noProof/>
          <w:lang w:val="sq-AL"/>
        </w:rPr>
      </w:pPr>
      <w:r w:rsidRPr="00400450">
        <w:rPr>
          <w:i/>
          <w:noProof/>
          <w:lang w:val="sq-AL"/>
        </w:rPr>
        <w:t xml:space="preserve">një ose më shumë shoqëri ( shoqëritë trasnferuese), që shpërbëhen pa kaluar në procesin e likuidimit, i transferojnë të gjitha aktivet dhe pasivet e tyre në një tjetër shoqëri ekzistuese (shoqëria pritëse) në këmbim të emetimit ose të transferimit tek aksioneri(rët) të aksioneve që përfaqësojnë kapitalin e shoqërisë pritëse, dhe, nëse zbatohet, një pagesë të cilësuar në të holla; ose </w:t>
      </w:r>
    </w:p>
    <w:p w:rsidR="00DB7691" w:rsidRPr="00400450" w:rsidRDefault="00DB7691" w:rsidP="00DB7691">
      <w:pPr>
        <w:pStyle w:val="ListParagraph"/>
        <w:numPr>
          <w:ilvl w:val="0"/>
          <w:numId w:val="42"/>
        </w:numPr>
        <w:tabs>
          <w:tab w:val="clear" w:pos="360"/>
        </w:tabs>
        <w:spacing w:line="276" w:lineRule="auto"/>
        <w:ind w:left="720" w:firstLine="90"/>
        <w:jc w:val="both"/>
        <w:rPr>
          <w:i/>
          <w:noProof/>
          <w:lang w:val="sq-AL"/>
        </w:rPr>
      </w:pPr>
      <w:r w:rsidRPr="00400450">
        <w:rPr>
          <w:i/>
          <w:noProof/>
          <w:lang w:val="sq-AL"/>
        </w:rPr>
        <w:t xml:space="preserve">dy apo më shumë shoqëri (shoqëritë transferuese), që shpërbëhen pa kaluar në procesin e likuidimit,  i transferojnë të gjitha aktivet dhe pasivet e tyre tek një shoqëri që ata formojnë (shoqëria pritëse) në këmbim të emetimit ose të transferimit tek aksioneri(rët) të aksioneve që përfaqësojnë kapitalin e shoqërisë pritëse, dhe, nëse zbatohet, një pagesë të cilësuar në të holla; ose </w:t>
      </w:r>
    </w:p>
    <w:p w:rsidR="00702702" w:rsidRPr="00400450" w:rsidRDefault="00DB7691" w:rsidP="00702702">
      <w:pPr>
        <w:pStyle w:val="ListParagraph"/>
        <w:numPr>
          <w:ilvl w:val="0"/>
          <w:numId w:val="42"/>
        </w:numPr>
        <w:tabs>
          <w:tab w:val="clear" w:pos="360"/>
        </w:tabs>
        <w:spacing w:line="276" w:lineRule="auto"/>
        <w:ind w:left="720" w:firstLine="0"/>
        <w:jc w:val="both"/>
        <w:rPr>
          <w:i/>
          <w:noProof/>
          <w:lang w:val="sq-AL"/>
        </w:rPr>
      </w:pPr>
      <w:r w:rsidRPr="00400450">
        <w:rPr>
          <w:i/>
          <w:noProof/>
          <w:lang w:val="sq-AL"/>
        </w:rPr>
        <w:t>një shoqëri (shoqëria transferuese), që shpërbëhet pa kaluar në procesin e likuidimit, i transferon të gjitha aktivet dhe pasivet e saj tek shoqëria (shoqëria pritëse) dhe mban të gjitha aksionet që përfaqësojnë kapitalin e saj.</w:t>
      </w:r>
    </w:p>
    <w:p w:rsidR="00DB7691" w:rsidRPr="00400450" w:rsidRDefault="00DB7691" w:rsidP="00702702">
      <w:pPr>
        <w:pStyle w:val="ListParagraph"/>
        <w:numPr>
          <w:ilvl w:val="0"/>
          <w:numId w:val="41"/>
        </w:numPr>
        <w:spacing w:line="276" w:lineRule="auto"/>
        <w:jc w:val="both"/>
        <w:rPr>
          <w:i/>
          <w:noProof/>
          <w:lang w:val="sq-AL"/>
        </w:rPr>
      </w:pPr>
      <w:r w:rsidRPr="00400450">
        <w:rPr>
          <w:i/>
          <w:noProof/>
          <w:lang w:val="sq-AL"/>
        </w:rPr>
        <w:t xml:space="preserve"> “ndarje” do të thotë çdo operacion përmes së cilit:</w:t>
      </w:r>
    </w:p>
    <w:p w:rsidR="00DB7691" w:rsidRPr="00400450" w:rsidRDefault="00DB7691" w:rsidP="00DB7691">
      <w:pPr>
        <w:pStyle w:val="ListParagraph"/>
        <w:numPr>
          <w:ilvl w:val="0"/>
          <w:numId w:val="43"/>
        </w:numPr>
        <w:tabs>
          <w:tab w:val="clear" w:pos="360"/>
        </w:tabs>
        <w:spacing w:line="276" w:lineRule="auto"/>
        <w:ind w:left="720" w:firstLine="0"/>
        <w:jc w:val="both"/>
        <w:rPr>
          <w:i/>
          <w:noProof/>
          <w:lang w:val="sq-AL"/>
        </w:rPr>
      </w:pPr>
      <w:r w:rsidRPr="00400450">
        <w:rPr>
          <w:i/>
          <w:noProof/>
          <w:lang w:val="sq-AL"/>
        </w:rPr>
        <w:t xml:space="preserve">një shoqëri (shoqëria transferuese), që shpërbëhet pa kaluar në proces likuidimi, transferon të gjitha aktivet dhe pasivet  tek dy apo më shumë shoqëri ekzistuese ose të reja (shoqëri pritëse), në këmbim të emetimit të aksioneve proporcionale ose të transferimit tek aksioneri(rët) e saj të </w:t>
      </w:r>
      <w:r w:rsidRPr="00400450">
        <w:rPr>
          <w:i/>
          <w:noProof/>
          <w:lang w:val="sq-AL"/>
        </w:rPr>
        <w:lastRenderedPageBreak/>
        <w:t xml:space="preserve">aksioneve që përfaqësojnë kapitalin e shoqërisë pritëse, dhe, nëse zbatohet, një pagesë të cilësuar në të holla; ose </w:t>
      </w:r>
    </w:p>
    <w:p w:rsidR="00DB7691" w:rsidRPr="00400450" w:rsidRDefault="00DB7691" w:rsidP="00DB7691">
      <w:pPr>
        <w:pStyle w:val="ListParagraph"/>
        <w:numPr>
          <w:ilvl w:val="0"/>
          <w:numId w:val="43"/>
        </w:numPr>
        <w:tabs>
          <w:tab w:val="clear" w:pos="360"/>
        </w:tabs>
        <w:spacing w:line="276" w:lineRule="auto"/>
        <w:ind w:left="720" w:firstLine="0"/>
        <w:jc w:val="both"/>
        <w:rPr>
          <w:i/>
          <w:noProof/>
          <w:lang w:val="sq-AL"/>
        </w:rPr>
      </w:pPr>
      <w:r w:rsidRPr="00400450">
        <w:rPr>
          <w:i/>
          <w:noProof/>
          <w:lang w:val="sq-AL"/>
        </w:rPr>
        <w:t>një shoqëri (shoqëria transferuese) transferon një ose më shumë degë të veprimtarisë tek një shoqëri që ajo formon (shoqëria pritëse), në këmbim për emetimin ose transferimin tek aksioneri(ët) të aksioneve që përfaqësojnë kapitalin e shoqërisë pritëse, dhe, nëse zbatohet, një</w:t>
      </w:r>
      <w:r w:rsidR="00702702" w:rsidRPr="00400450">
        <w:rPr>
          <w:i/>
          <w:noProof/>
          <w:lang w:val="sq-AL"/>
        </w:rPr>
        <w:t xml:space="preserve"> pagesë të cilësuar në të holla.</w:t>
      </w:r>
    </w:p>
    <w:p w:rsidR="004C61AB" w:rsidRPr="00400450" w:rsidRDefault="00DB7691" w:rsidP="00702702">
      <w:pPr>
        <w:pStyle w:val="ListParagraph"/>
        <w:numPr>
          <w:ilvl w:val="0"/>
          <w:numId w:val="41"/>
        </w:numPr>
        <w:spacing w:line="276" w:lineRule="auto"/>
        <w:jc w:val="both"/>
        <w:rPr>
          <w:i/>
          <w:noProof/>
          <w:lang w:val="sq-AL"/>
        </w:rPr>
      </w:pPr>
      <w:r w:rsidRPr="00400450">
        <w:rPr>
          <w:i/>
          <w:noProof/>
          <w:lang w:val="sq-AL"/>
        </w:rPr>
        <w:t>“pagesë e cilësuar në të holla” do të thotë një pagesë në të holla që bëhet nga një shoqëri pritëse ose blerëse, përveç emetimit ose transferimit të aksioneve, që nuk i tejkalojn në total 10% të vlerës nominale të aksioneve të emetuara ose të transferuara në këmbim”.</w:t>
      </w:r>
    </w:p>
    <w:p w:rsidR="00DB7691" w:rsidRPr="00400450" w:rsidRDefault="00DB7691" w:rsidP="00DB7691">
      <w:pPr>
        <w:pStyle w:val="ListParagraph"/>
        <w:spacing w:line="276" w:lineRule="auto"/>
        <w:jc w:val="both"/>
        <w:rPr>
          <w:i/>
          <w:noProof/>
          <w:lang w:val="sq-AL"/>
        </w:rPr>
      </w:pPr>
    </w:p>
    <w:p w:rsidR="00DB7691" w:rsidRPr="00400450" w:rsidRDefault="007F6F1D" w:rsidP="00DB7691">
      <w:pPr>
        <w:jc w:val="both"/>
        <w:rPr>
          <w:noProof/>
          <w:lang w:val="sq-AL"/>
        </w:rPr>
      </w:pPr>
      <w:r w:rsidRPr="00400450">
        <w:rPr>
          <w:rFonts w:eastAsia="Calibri"/>
          <w:lang w:val="sq-AL"/>
        </w:rPr>
        <w:t>Neni 2</w:t>
      </w:r>
      <w:r w:rsidR="00D37D91" w:rsidRPr="00400450">
        <w:rPr>
          <w:rFonts w:eastAsia="Calibri"/>
          <w:lang w:val="sq-AL"/>
        </w:rPr>
        <w:t xml:space="preserve">, parashikon </w:t>
      </w:r>
      <w:r w:rsidR="00DB7691" w:rsidRPr="00400450">
        <w:rPr>
          <w:rFonts w:eastAsia="Calibri"/>
          <w:lang w:val="sq-AL"/>
        </w:rPr>
        <w:t xml:space="preserve">shtimin e </w:t>
      </w:r>
      <w:r w:rsidR="00DB7691" w:rsidRPr="00400450">
        <w:rPr>
          <w:noProof/>
          <w:lang w:val="sq-AL"/>
        </w:rPr>
        <w:t>Nenit 32/1 “Vlerësimi i Shkëmbimit të Aksioneve” me k</w:t>
      </w:r>
      <w:r w:rsidR="007F5F2C" w:rsidRPr="00400450">
        <w:rPr>
          <w:noProof/>
          <w:lang w:val="sq-AL"/>
        </w:rPr>
        <w:t>ë</w:t>
      </w:r>
      <w:r w:rsidR="00DB7691" w:rsidRPr="00400450">
        <w:rPr>
          <w:noProof/>
          <w:lang w:val="sq-AL"/>
        </w:rPr>
        <w:t>t</w:t>
      </w:r>
      <w:r w:rsidR="007F5F2C" w:rsidRPr="00400450">
        <w:rPr>
          <w:noProof/>
          <w:lang w:val="sq-AL"/>
        </w:rPr>
        <w:t>ë</w:t>
      </w:r>
      <w:r w:rsidR="00DB7691" w:rsidRPr="00400450">
        <w:rPr>
          <w:noProof/>
          <w:lang w:val="sq-AL"/>
        </w:rPr>
        <w:t xml:space="preserve"> p</w:t>
      </w:r>
      <w:r w:rsidR="007F5F2C" w:rsidRPr="00400450">
        <w:rPr>
          <w:noProof/>
          <w:lang w:val="sq-AL"/>
        </w:rPr>
        <w:t>ë</w:t>
      </w:r>
      <w:r w:rsidR="00DB7691" w:rsidRPr="00400450">
        <w:rPr>
          <w:noProof/>
          <w:lang w:val="sq-AL"/>
        </w:rPr>
        <w:t xml:space="preserve">rmbajtje; </w:t>
      </w:r>
    </w:p>
    <w:p w:rsidR="00DB7691" w:rsidRPr="00400450" w:rsidRDefault="00DB7691" w:rsidP="00DB7691">
      <w:pPr>
        <w:jc w:val="both"/>
        <w:rPr>
          <w:i/>
          <w:noProof/>
          <w:lang w:val="sq-AL"/>
        </w:rPr>
      </w:pPr>
      <w:r w:rsidRPr="00400450">
        <w:rPr>
          <w:i/>
          <w:noProof/>
          <w:lang w:val="sq-AL"/>
        </w:rPr>
        <w:t>1)</w:t>
      </w:r>
      <w:r w:rsidRPr="00400450">
        <w:rPr>
          <w:i/>
          <w:noProof/>
          <w:lang w:val="sq-AL"/>
        </w:rPr>
        <w:tab/>
        <w:t xml:space="preserve">Aksionet e marra në lidhje me një inkorporim/përthithje apo transferim të një dege apo degëve vlerësohen në vlerën e tregut të aktiveve dhe pasiveve të transferuara të biznesit. </w:t>
      </w:r>
    </w:p>
    <w:p w:rsidR="00DB7691" w:rsidRPr="00381778" w:rsidRDefault="00DB7691" w:rsidP="00DB7691">
      <w:pPr>
        <w:jc w:val="both"/>
        <w:rPr>
          <w:i/>
          <w:noProof/>
          <w:lang w:val="sq-AL"/>
        </w:rPr>
      </w:pPr>
      <w:r w:rsidRPr="00400450">
        <w:rPr>
          <w:i/>
          <w:noProof/>
          <w:lang w:val="sq-AL"/>
        </w:rPr>
        <w:t>2)</w:t>
      </w:r>
      <w:r w:rsidRPr="00400450">
        <w:rPr>
          <w:i/>
          <w:noProof/>
          <w:lang w:val="sq-AL"/>
        </w:rPr>
        <w:tab/>
        <w:t>Me një kërkesë me shkrim nga të dy shoqëritë,  si ajo blerëse dhe ajo e blerë, ose nga aksionerët rezidentë në Shqipëri të shoqërisë së blerë, drejtuar administratës tatimore, aksionet e marra në lidhje me një shkëmbim të aksioneve, një bashkim ose një ndarje, vlerësohen me çmimin fillestar të blerjes së aksioneve që janë transferuar</w:t>
      </w:r>
      <w:r w:rsidRPr="00381778">
        <w:rPr>
          <w:i/>
          <w:noProof/>
          <w:lang w:val="sq-AL"/>
        </w:rPr>
        <w:t xml:space="preserve">.             </w:t>
      </w:r>
    </w:p>
    <w:p w:rsidR="00DB7691" w:rsidRPr="00381778" w:rsidRDefault="00DB7691" w:rsidP="00DB7691">
      <w:pPr>
        <w:jc w:val="both"/>
        <w:rPr>
          <w:i/>
          <w:noProof/>
          <w:lang w:val="sq-AL"/>
        </w:rPr>
      </w:pPr>
      <w:r w:rsidRPr="00381778">
        <w:rPr>
          <w:i/>
          <w:noProof/>
          <w:lang w:val="sq-AL"/>
        </w:rPr>
        <w:t>3)</w:t>
      </w:r>
      <w:r w:rsidRPr="00381778">
        <w:rPr>
          <w:i/>
          <w:noProof/>
          <w:lang w:val="sq-AL"/>
        </w:rPr>
        <w:tab/>
        <w:t xml:space="preserve">Çdo pagesë e  cilësuar në të holla që është marrë në lidhje me shkëmbimin e aksioneve, një bashkim ose ndarje, njihet si një fitim kapitali i tatueshëm deri në një shumë të barabartë me diferencën midis çmimit të tregut të aksioneve të marra dhe të çmimit të blerjes së aksioneve të transferuara.              </w:t>
      </w:r>
    </w:p>
    <w:p w:rsidR="00DB7691" w:rsidRPr="00381778" w:rsidRDefault="00DB7691" w:rsidP="00DB7691">
      <w:pPr>
        <w:jc w:val="both"/>
        <w:rPr>
          <w:i/>
          <w:noProof/>
          <w:lang w:val="sq-AL"/>
        </w:rPr>
      </w:pPr>
      <w:r w:rsidRPr="00381778">
        <w:rPr>
          <w:i/>
          <w:noProof/>
          <w:lang w:val="sq-AL"/>
        </w:rPr>
        <w:t>4)</w:t>
      </w:r>
      <w:r w:rsidRPr="00381778">
        <w:rPr>
          <w:i/>
          <w:noProof/>
          <w:lang w:val="sq-AL"/>
        </w:rPr>
        <w:tab/>
        <w:t>Ky Nen zbatohet vetëm në lidhje me aksionerët në shoqërinë e blerë, nëse aksionerët janë rezidentë të Shqipërisë.</w:t>
      </w:r>
    </w:p>
    <w:p w:rsidR="00776F91" w:rsidRPr="00D37D91" w:rsidRDefault="00776F91" w:rsidP="00332F3A">
      <w:pPr>
        <w:pStyle w:val="Default"/>
        <w:spacing w:after="120" w:line="276" w:lineRule="auto"/>
        <w:jc w:val="both"/>
        <w:rPr>
          <w:rFonts w:ascii="Times New Roman" w:hAnsi="Times New Roman" w:cs="Times New Roman"/>
          <w:color w:val="000000" w:themeColor="text1"/>
          <w:lang w:val="sq-AL"/>
        </w:rPr>
      </w:pPr>
    </w:p>
    <w:p w:rsidR="00E91D31" w:rsidRDefault="00E91D31" w:rsidP="00E91D31">
      <w:pPr>
        <w:jc w:val="both"/>
        <w:rPr>
          <w:noProof/>
          <w:lang w:val="sq-AL"/>
        </w:rPr>
      </w:pPr>
      <w:r>
        <w:rPr>
          <w:rFonts w:eastAsia="Calibri"/>
          <w:lang w:val="sq-AL"/>
        </w:rPr>
        <w:t xml:space="preserve">Neni 3, parashikon shtimin e </w:t>
      </w:r>
      <w:r w:rsidRPr="00DB7691">
        <w:rPr>
          <w:noProof/>
          <w:lang w:val="sq-AL"/>
        </w:rPr>
        <w:t>Nenit</w:t>
      </w:r>
      <w:r>
        <w:rPr>
          <w:noProof/>
          <w:lang w:val="sq-AL"/>
        </w:rPr>
        <w:t xml:space="preserve"> 32/2</w:t>
      </w:r>
      <w:r w:rsidRPr="00DB7691">
        <w:rPr>
          <w:noProof/>
          <w:lang w:val="sq-AL"/>
        </w:rPr>
        <w:t xml:space="preserve"> “</w:t>
      </w:r>
      <w:r w:rsidRPr="00E91D31">
        <w:rPr>
          <w:rFonts w:eastAsia="Times New Roman"/>
          <w:i/>
          <w:noProof/>
          <w:lang w:val="sq-AL" w:eastAsia="en-US"/>
        </w:rPr>
        <w:t>Rregullat e aplikueshme mbi Aktivet dhe Pasivet e Biznesit në Riorganizime</w:t>
      </w:r>
      <w:r w:rsidRPr="00DB7691">
        <w:rPr>
          <w:noProof/>
          <w:lang w:val="sq-AL"/>
        </w:rPr>
        <w:t>” me k</w:t>
      </w:r>
      <w:r w:rsidR="007F5F2C">
        <w:rPr>
          <w:noProof/>
          <w:lang w:val="sq-AL"/>
        </w:rPr>
        <w:t>ë</w:t>
      </w:r>
      <w:r w:rsidRPr="00DB7691">
        <w:rPr>
          <w:noProof/>
          <w:lang w:val="sq-AL"/>
        </w:rPr>
        <w:t>t</w:t>
      </w:r>
      <w:r w:rsidR="007F5F2C">
        <w:rPr>
          <w:noProof/>
          <w:lang w:val="sq-AL"/>
        </w:rPr>
        <w:t>ë</w:t>
      </w:r>
      <w:r w:rsidRPr="00DB7691">
        <w:rPr>
          <w:noProof/>
          <w:lang w:val="sq-AL"/>
        </w:rPr>
        <w:t xml:space="preserve"> p</w:t>
      </w:r>
      <w:r w:rsidR="007F5F2C">
        <w:rPr>
          <w:noProof/>
          <w:lang w:val="sq-AL"/>
        </w:rPr>
        <w:t>ë</w:t>
      </w:r>
      <w:r w:rsidRPr="00DB7691">
        <w:rPr>
          <w:noProof/>
          <w:lang w:val="sq-AL"/>
        </w:rPr>
        <w:t xml:space="preserve">rmbajtje; </w:t>
      </w:r>
    </w:p>
    <w:p w:rsidR="00942E58" w:rsidRPr="00381778" w:rsidRDefault="00942E58" w:rsidP="00942E58">
      <w:pPr>
        <w:jc w:val="both"/>
        <w:rPr>
          <w:i/>
          <w:noProof/>
          <w:lang w:val="sq-AL"/>
        </w:rPr>
      </w:pPr>
      <w:r w:rsidRPr="00381778">
        <w:rPr>
          <w:i/>
          <w:noProof/>
          <w:lang w:val="sq-AL"/>
        </w:rPr>
        <w:t>1)</w:t>
      </w:r>
      <w:r w:rsidRPr="00381778">
        <w:rPr>
          <w:i/>
          <w:noProof/>
          <w:lang w:val="sq-AL"/>
        </w:rPr>
        <w:tab/>
        <w:t>Fitimi i kapitalit i realizuar nga transferimi i aktiveve dhe pasiveve të biznesit në lidhje me një inkorporim/p</w:t>
      </w:r>
      <w:r>
        <w:rPr>
          <w:i/>
          <w:noProof/>
          <w:lang w:val="sq-AL"/>
        </w:rPr>
        <w:t>ë</w:t>
      </w:r>
      <w:r w:rsidRPr="00381778">
        <w:rPr>
          <w:i/>
          <w:noProof/>
          <w:lang w:val="sq-AL"/>
        </w:rPr>
        <w:t>rthithje, një transferim i një dege apo degëve të veprimtarisë, një bashkim ose një ndarje, mund të shtyhet deri në shitjen e këtyre aktiveve dhe pasiveve nga shoqëria pritëse. Kjo shtyrje e tatimit b</w:t>
      </w:r>
      <w:r>
        <w:rPr>
          <w:i/>
          <w:noProof/>
          <w:lang w:val="sq-AL"/>
        </w:rPr>
        <w:t>ë</w:t>
      </w:r>
      <w:r w:rsidRPr="00381778">
        <w:rPr>
          <w:i/>
          <w:noProof/>
          <w:lang w:val="sq-AL"/>
        </w:rPr>
        <w:t>het me kërkesën e të dy kompanive si ajo transferuese dhe ajo prit</w:t>
      </w:r>
      <w:r>
        <w:rPr>
          <w:i/>
          <w:noProof/>
          <w:lang w:val="sq-AL"/>
        </w:rPr>
        <w:t>ë</w:t>
      </w:r>
      <w:r w:rsidRPr="00381778">
        <w:rPr>
          <w:i/>
          <w:noProof/>
          <w:lang w:val="sq-AL"/>
        </w:rPr>
        <w:t>se në administratën tatimore, ku shoqëria pritëse bie dakord që të vazhdojë vlerësimin e aseteve dhe detyrimeve të transferuara të marra me vlerën e tyre kontab</w:t>
      </w:r>
      <w:r>
        <w:rPr>
          <w:i/>
          <w:noProof/>
          <w:lang w:val="sq-AL"/>
        </w:rPr>
        <w:t>ë</w:t>
      </w:r>
      <w:r w:rsidRPr="00381778">
        <w:rPr>
          <w:i/>
          <w:noProof/>
          <w:lang w:val="sq-AL"/>
        </w:rPr>
        <w:t>l në momentin menjëherë para se të ndodhë transferimi.</w:t>
      </w:r>
    </w:p>
    <w:p w:rsidR="00942E58" w:rsidRPr="00381778" w:rsidRDefault="00942E58" w:rsidP="00942E58">
      <w:pPr>
        <w:jc w:val="both"/>
        <w:rPr>
          <w:i/>
          <w:noProof/>
          <w:lang w:val="sq-AL"/>
        </w:rPr>
      </w:pPr>
      <w:r w:rsidRPr="00381778">
        <w:rPr>
          <w:i/>
          <w:noProof/>
          <w:lang w:val="sq-AL"/>
        </w:rPr>
        <w:t>2)</w:t>
      </w:r>
      <w:r w:rsidRPr="00381778">
        <w:rPr>
          <w:i/>
          <w:noProof/>
          <w:lang w:val="sq-AL"/>
        </w:rPr>
        <w:tab/>
        <w:t>Në respekt të përllogaritjeve të amortizimit sipas nenit 14 shoqëria pritëse do të vazhdoj</w:t>
      </w:r>
      <w:r>
        <w:rPr>
          <w:i/>
          <w:noProof/>
          <w:lang w:val="sq-AL"/>
        </w:rPr>
        <w:t>ë</w:t>
      </w:r>
      <w:r w:rsidRPr="00381778">
        <w:rPr>
          <w:i/>
          <w:noProof/>
          <w:lang w:val="sq-AL"/>
        </w:rPr>
        <w:t xml:space="preserve"> sikur asetet dhe detyrimet e marra akoma zotërohen nga shoq</w:t>
      </w:r>
      <w:r>
        <w:rPr>
          <w:i/>
          <w:noProof/>
          <w:lang w:val="sq-AL"/>
        </w:rPr>
        <w:t>ë</w:t>
      </w:r>
      <w:r w:rsidRPr="00381778">
        <w:rPr>
          <w:i/>
          <w:noProof/>
          <w:lang w:val="sq-AL"/>
        </w:rPr>
        <w:t xml:space="preserve">ria transferuese apo personi transferues. </w:t>
      </w:r>
    </w:p>
    <w:p w:rsidR="00942E58" w:rsidRPr="00400450" w:rsidRDefault="00942E58" w:rsidP="00942E58">
      <w:pPr>
        <w:jc w:val="both"/>
        <w:rPr>
          <w:i/>
          <w:noProof/>
          <w:lang w:val="sq-AL"/>
        </w:rPr>
      </w:pPr>
      <w:r w:rsidRPr="00381778">
        <w:rPr>
          <w:i/>
          <w:noProof/>
          <w:lang w:val="sq-AL"/>
        </w:rPr>
        <w:t>3)</w:t>
      </w:r>
      <w:r w:rsidRPr="00381778">
        <w:rPr>
          <w:i/>
          <w:noProof/>
          <w:lang w:val="sq-AL"/>
        </w:rPr>
        <w:tab/>
      </w:r>
      <w:r w:rsidRPr="00400450">
        <w:rPr>
          <w:i/>
          <w:noProof/>
          <w:lang w:val="sq-AL"/>
        </w:rPr>
        <w:t xml:space="preserve">Ky Nen zbatohet për transaksionet e parashikuara në paragrafin 1, vetëm nëse shoqëria transferuese ose personi dhe shoqëria pritëse janë të dy rezidentë në Shqipëri.  </w:t>
      </w:r>
    </w:p>
    <w:p w:rsidR="00942E58" w:rsidRPr="00381778" w:rsidRDefault="00942E58" w:rsidP="00942E58">
      <w:pPr>
        <w:jc w:val="both"/>
        <w:rPr>
          <w:i/>
          <w:noProof/>
          <w:lang w:val="sq-AL"/>
        </w:rPr>
      </w:pPr>
      <w:r w:rsidRPr="00400450">
        <w:rPr>
          <w:i/>
          <w:noProof/>
          <w:lang w:val="sq-AL"/>
        </w:rPr>
        <w:t>4)</w:t>
      </w:r>
      <w:r w:rsidRPr="00400450">
        <w:rPr>
          <w:i/>
          <w:noProof/>
          <w:lang w:val="sq-AL"/>
        </w:rPr>
        <w:tab/>
        <w:t>Ky Nen nuk zbatohet nëse shoqëria transferuese ose personi</w:t>
      </w:r>
      <w:r w:rsidRPr="00381778">
        <w:rPr>
          <w:i/>
          <w:noProof/>
          <w:lang w:val="sq-AL"/>
        </w:rPr>
        <w:t xml:space="preserve"> nuk i mban aksionet e marra në shoqërinë pritëse për të paktën 3 vite kalendarike pa ndërprerje </w:t>
      </w:r>
      <w:r w:rsidRPr="00381778">
        <w:rPr>
          <w:i/>
          <w:noProof/>
          <w:lang w:val="sq-AL"/>
        </w:rPr>
        <w:lastRenderedPageBreak/>
        <w:t>pas vitit në të cilin ndodh transferimi, përveç nëse shoqëria transferuese apo personi demonstrojnë se tjetërsimi i këtyre aksioneve nuk është duke u bërë me qëllimin mbizotërues për të ulur ose shmangur pagimin e tatimit mbi fitimin në Shqipëri</w:t>
      </w:r>
      <w:r>
        <w:rPr>
          <w:i/>
          <w:noProof/>
          <w:lang w:val="sq-AL"/>
        </w:rPr>
        <w:t>”</w:t>
      </w:r>
      <w:r w:rsidRPr="00381778">
        <w:rPr>
          <w:i/>
          <w:noProof/>
          <w:lang w:val="sq-AL"/>
        </w:rPr>
        <w:t xml:space="preserve">. </w:t>
      </w:r>
    </w:p>
    <w:p w:rsidR="00942E58" w:rsidRDefault="00942E58" w:rsidP="00E91D31">
      <w:pPr>
        <w:jc w:val="both"/>
        <w:rPr>
          <w:rFonts w:eastAsia="Times New Roman"/>
          <w:b/>
          <w:i/>
          <w:noProof/>
          <w:lang w:val="sq-AL" w:eastAsia="en-US"/>
        </w:rPr>
      </w:pPr>
    </w:p>
    <w:p w:rsidR="00942E58" w:rsidRPr="00942E58" w:rsidRDefault="00942E58" w:rsidP="00942E58">
      <w:pPr>
        <w:pStyle w:val="Default"/>
        <w:spacing w:line="276" w:lineRule="auto"/>
        <w:rPr>
          <w:rFonts w:ascii="Times New Roman" w:hAnsi="Times New Roman" w:cs="Times New Roman"/>
          <w:lang w:val="sq-AL"/>
        </w:rPr>
      </w:pPr>
      <w:r w:rsidRPr="00942E58">
        <w:rPr>
          <w:rFonts w:ascii="Times New Roman" w:eastAsia="Times New Roman" w:hAnsi="Times New Roman" w:cs="Times New Roman"/>
          <w:noProof/>
          <w:lang w:val="sq-AL"/>
        </w:rPr>
        <w:t xml:space="preserve">Neni 4 parashikon se, </w:t>
      </w:r>
      <w:r w:rsidRPr="00942E58">
        <w:rPr>
          <w:rFonts w:ascii="Times New Roman" w:hAnsi="Times New Roman" w:cs="Times New Roman"/>
          <w:lang w:val="sq-AL"/>
        </w:rPr>
        <w:t xml:space="preserve">ky ligj hyn në fuqi 15 ditë pas botimit në “Fletoren zyrtare” </w:t>
      </w:r>
      <w:r w:rsidR="00A41546">
        <w:rPr>
          <w:rFonts w:ascii="Times New Roman" w:hAnsi="Times New Roman" w:cs="Times New Roman"/>
          <w:lang w:val="sq-AL"/>
        </w:rPr>
        <w:t>.</w:t>
      </w:r>
    </w:p>
    <w:p w:rsidR="00A56710" w:rsidRDefault="00A56710" w:rsidP="00A56710">
      <w:pPr>
        <w:jc w:val="both"/>
        <w:rPr>
          <w:lang w:val="sq-AL"/>
        </w:rPr>
      </w:pPr>
    </w:p>
    <w:p w:rsidR="00E91D31" w:rsidRPr="006F4E6F" w:rsidRDefault="00E91D31" w:rsidP="00A56710">
      <w:pPr>
        <w:jc w:val="both"/>
        <w:rPr>
          <w:lang w:val="sq-AL"/>
        </w:rPr>
      </w:pPr>
    </w:p>
    <w:p w:rsidR="00272A99" w:rsidRPr="006F4E6F" w:rsidRDefault="00272A99" w:rsidP="00CD6BA7">
      <w:pPr>
        <w:numPr>
          <w:ilvl w:val="0"/>
          <w:numId w:val="1"/>
        </w:numPr>
        <w:spacing w:after="120" w:line="276" w:lineRule="auto"/>
        <w:jc w:val="both"/>
        <w:rPr>
          <w:lang w:val="sq-AL"/>
        </w:rPr>
      </w:pPr>
      <w:r w:rsidRPr="006F4E6F">
        <w:rPr>
          <w:b/>
          <w:lang w:val="sq-AL"/>
        </w:rPr>
        <w:t>INSTITUCIONET DHE ORGANET QË NGARKOHEN PËR ZBATIMIN E KËTIJ AKTI</w:t>
      </w:r>
    </w:p>
    <w:p w:rsidR="0076440E" w:rsidRDefault="00272A99" w:rsidP="00CD6BA7">
      <w:pPr>
        <w:spacing w:after="120" w:line="276" w:lineRule="auto"/>
        <w:jc w:val="both"/>
        <w:rPr>
          <w:lang w:val="sq-AL"/>
        </w:rPr>
      </w:pPr>
      <w:r w:rsidRPr="006F4E6F">
        <w:rPr>
          <w:lang w:val="sq-AL"/>
        </w:rPr>
        <w:t xml:space="preserve">Për zbatimin e këtij projektligji, </w:t>
      </w:r>
      <w:r w:rsidR="005C658C" w:rsidRPr="006F4E6F">
        <w:rPr>
          <w:lang w:val="sq-AL"/>
        </w:rPr>
        <w:t>ngarkohe</w:t>
      </w:r>
      <w:r w:rsidR="00337570" w:rsidRPr="006F4E6F">
        <w:rPr>
          <w:lang w:val="sq-AL"/>
        </w:rPr>
        <w:t>t Ministria e Financave dhe Ekonomisë dhe</w:t>
      </w:r>
      <w:r w:rsidR="005C658C" w:rsidRPr="006F4E6F">
        <w:rPr>
          <w:lang w:val="sq-AL"/>
        </w:rPr>
        <w:t xml:space="preserve"> </w:t>
      </w:r>
      <w:r w:rsidRPr="006F4E6F">
        <w:rPr>
          <w:lang w:val="sq-AL"/>
        </w:rPr>
        <w:t>Drejto</w:t>
      </w:r>
      <w:r w:rsidR="005C658C" w:rsidRPr="006F4E6F">
        <w:rPr>
          <w:lang w:val="sq-AL"/>
        </w:rPr>
        <w:t>ria e Përgjithshme e Tatimeve.</w:t>
      </w:r>
    </w:p>
    <w:p w:rsidR="00A56710" w:rsidRPr="006F4E6F" w:rsidRDefault="00A56710" w:rsidP="00A56710">
      <w:pPr>
        <w:jc w:val="both"/>
        <w:rPr>
          <w:lang w:val="sq-AL"/>
        </w:rPr>
      </w:pPr>
    </w:p>
    <w:p w:rsidR="00272A99" w:rsidRPr="006F4E6F" w:rsidRDefault="00272A99" w:rsidP="00CD6BA7">
      <w:pPr>
        <w:numPr>
          <w:ilvl w:val="0"/>
          <w:numId w:val="1"/>
        </w:numPr>
        <w:spacing w:after="120" w:line="276" w:lineRule="auto"/>
        <w:jc w:val="both"/>
        <w:rPr>
          <w:b/>
          <w:lang w:val="sq-AL"/>
        </w:rPr>
      </w:pPr>
      <w:r w:rsidRPr="006F4E6F">
        <w:rPr>
          <w:b/>
          <w:lang w:val="sq-AL"/>
        </w:rPr>
        <w:t xml:space="preserve">PERSONAT DHE INSTITUCIONET QË KANË KONTRIBUAR NË HARTIMIN E PROJEKT-AKTIT </w:t>
      </w:r>
    </w:p>
    <w:p w:rsidR="0076440E" w:rsidRDefault="00272A99" w:rsidP="00CD6BA7">
      <w:pPr>
        <w:spacing w:after="120" w:line="276" w:lineRule="auto"/>
        <w:jc w:val="both"/>
        <w:rPr>
          <w:lang w:val="sq-AL"/>
        </w:rPr>
      </w:pPr>
      <w:r w:rsidRPr="006F4E6F">
        <w:rPr>
          <w:lang w:val="sq-AL"/>
        </w:rPr>
        <w:t xml:space="preserve">Ministria e Financave </w:t>
      </w:r>
      <w:r w:rsidR="00E61F57" w:rsidRPr="006F4E6F">
        <w:rPr>
          <w:lang w:val="sq-AL"/>
        </w:rPr>
        <w:t xml:space="preserve">dhe Ekonomisë </w:t>
      </w:r>
      <w:r w:rsidRPr="006F4E6F">
        <w:rPr>
          <w:lang w:val="sq-AL"/>
        </w:rPr>
        <w:t>ka draftuar projektligjin.</w:t>
      </w:r>
      <w:r w:rsidR="00A26670" w:rsidRPr="006F4E6F">
        <w:rPr>
          <w:lang w:val="sq-AL"/>
        </w:rPr>
        <w:t xml:space="preserve"> </w:t>
      </w:r>
      <w:r w:rsidR="0042567E" w:rsidRPr="006F4E6F">
        <w:rPr>
          <w:lang w:val="sq-AL"/>
        </w:rPr>
        <w:t xml:space="preserve">Projektligji </w:t>
      </w:r>
      <w:r w:rsidR="00DB7691">
        <w:rPr>
          <w:lang w:val="sq-AL"/>
        </w:rPr>
        <w:t>i</w:t>
      </w:r>
      <w:r w:rsidR="0042567E" w:rsidRPr="006F4E6F">
        <w:rPr>
          <w:lang w:val="sq-AL"/>
        </w:rPr>
        <w:t xml:space="preserve"> d</w:t>
      </w:r>
      <w:r w:rsidR="00B238FB" w:rsidRPr="006F4E6F">
        <w:rPr>
          <w:lang w:val="sq-AL"/>
        </w:rPr>
        <w:t>ë</w:t>
      </w:r>
      <w:r w:rsidR="00DB7691">
        <w:rPr>
          <w:lang w:val="sq-AL"/>
        </w:rPr>
        <w:t>rgohet</w:t>
      </w:r>
      <w:r w:rsidR="0042567E" w:rsidRPr="006F4E6F">
        <w:rPr>
          <w:lang w:val="sq-AL"/>
        </w:rPr>
        <w:t xml:space="preserve"> p</w:t>
      </w:r>
      <w:r w:rsidR="00B238FB" w:rsidRPr="006F4E6F">
        <w:rPr>
          <w:lang w:val="sq-AL"/>
        </w:rPr>
        <w:t>ë</w:t>
      </w:r>
      <w:r w:rsidR="0042567E" w:rsidRPr="006F4E6F">
        <w:rPr>
          <w:lang w:val="sq-AL"/>
        </w:rPr>
        <w:t>r mendim Ministris</w:t>
      </w:r>
      <w:r w:rsidR="00B238FB" w:rsidRPr="006F4E6F">
        <w:rPr>
          <w:lang w:val="sq-AL"/>
        </w:rPr>
        <w:t>ë</w:t>
      </w:r>
      <w:r w:rsidR="0042567E" w:rsidRPr="006F4E6F">
        <w:rPr>
          <w:lang w:val="sq-AL"/>
        </w:rPr>
        <w:t xml:space="preserve"> s</w:t>
      </w:r>
      <w:r w:rsidR="00B238FB" w:rsidRPr="006F4E6F">
        <w:rPr>
          <w:lang w:val="sq-AL"/>
        </w:rPr>
        <w:t>ë</w:t>
      </w:r>
      <w:r w:rsidR="0042567E" w:rsidRPr="006F4E6F">
        <w:rPr>
          <w:lang w:val="sq-AL"/>
        </w:rPr>
        <w:t xml:space="preserve"> Drejt</w:t>
      </w:r>
      <w:r w:rsidR="00B238FB" w:rsidRPr="006F4E6F">
        <w:rPr>
          <w:lang w:val="sq-AL"/>
        </w:rPr>
        <w:t>ë</w:t>
      </w:r>
      <w:r w:rsidR="0042567E" w:rsidRPr="006F4E6F">
        <w:rPr>
          <w:lang w:val="sq-AL"/>
        </w:rPr>
        <w:t>sis</w:t>
      </w:r>
      <w:r w:rsidR="00B238FB" w:rsidRPr="006F4E6F">
        <w:rPr>
          <w:lang w:val="sq-AL"/>
        </w:rPr>
        <w:t>ë</w:t>
      </w:r>
      <w:r w:rsidR="00456681">
        <w:rPr>
          <w:lang w:val="sq-AL"/>
        </w:rPr>
        <w:t>, Ministris</w:t>
      </w:r>
      <w:r w:rsidR="00D37D91">
        <w:rPr>
          <w:lang w:val="sq-AL"/>
        </w:rPr>
        <w:t>ë</w:t>
      </w:r>
      <w:r w:rsidR="00456681">
        <w:rPr>
          <w:lang w:val="sq-AL"/>
        </w:rPr>
        <w:t xml:space="preserve"> </w:t>
      </w:r>
      <w:r w:rsidR="00DB7691">
        <w:rPr>
          <w:lang w:val="sq-AL"/>
        </w:rPr>
        <w:t>p</w:t>
      </w:r>
      <w:r w:rsidR="007F5F2C">
        <w:rPr>
          <w:lang w:val="sq-AL"/>
        </w:rPr>
        <w:t>ë</w:t>
      </w:r>
      <w:r w:rsidR="00DB7691">
        <w:rPr>
          <w:lang w:val="sq-AL"/>
        </w:rPr>
        <w:t>r Evrop</w:t>
      </w:r>
      <w:r w:rsidR="007F5F2C">
        <w:rPr>
          <w:lang w:val="sq-AL"/>
        </w:rPr>
        <w:t>ë</w:t>
      </w:r>
      <w:r w:rsidR="00DB7691">
        <w:rPr>
          <w:lang w:val="sq-AL"/>
        </w:rPr>
        <w:t>n dhe Pun</w:t>
      </w:r>
      <w:r w:rsidR="007F5F2C">
        <w:rPr>
          <w:lang w:val="sq-AL"/>
        </w:rPr>
        <w:t>ë</w:t>
      </w:r>
      <w:r w:rsidR="00DB7691">
        <w:rPr>
          <w:lang w:val="sq-AL"/>
        </w:rPr>
        <w:t>t e Jashtme</w:t>
      </w:r>
      <w:r w:rsidR="00433CD2">
        <w:rPr>
          <w:lang w:val="sq-AL"/>
        </w:rPr>
        <w:t>,</w:t>
      </w:r>
      <w:r w:rsidR="002D0F2D">
        <w:rPr>
          <w:lang w:val="sq-AL"/>
        </w:rPr>
        <w:t xml:space="preserve"> </w:t>
      </w:r>
      <w:r w:rsidR="00E61F57" w:rsidRPr="006F4E6F">
        <w:rPr>
          <w:lang w:val="sq-AL"/>
        </w:rPr>
        <w:t>Ministrit t</w:t>
      </w:r>
      <w:r w:rsidR="005708B1" w:rsidRPr="006F4E6F">
        <w:rPr>
          <w:lang w:val="sq-AL"/>
        </w:rPr>
        <w:t>ë</w:t>
      </w:r>
      <w:r w:rsidR="00E61F57" w:rsidRPr="006F4E6F">
        <w:rPr>
          <w:lang w:val="sq-AL"/>
        </w:rPr>
        <w:t xml:space="preserve"> Shtetit p</w:t>
      </w:r>
      <w:r w:rsidR="005708B1" w:rsidRPr="006F4E6F">
        <w:rPr>
          <w:lang w:val="sq-AL"/>
        </w:rPr>
        <w:t>ë</w:t>
      </w:r>
      <w:r w:rsidR="00E61F57" w:rsidRPr="006F4E6F">
        <w:rPr>
          <w:lang w:val="sq-AL"/>
        </w:rPr>
        <w:t>r Mbrojtjen e Sip</w:t>
      </w:r>
      <w:r w:rsidR="005708B1" w:rsidRPr="006F4E6F">
        <w:rPr>
          <w:lang w:val="sq-AL"/>
        </w:rPr>
        <w:t>ë</w:t>
      </w:r>
      <w:r w:rsidR="00165176" w:rsidRPr="006F4E6F">
        <w:rPr>
          <w:lang w:val="sq-AL"/>
        </w:rPr>
        <w:t>rmarrjes</w:t>
      </w:r>
      <w:r w:rsidR="00433CD2">
        <w:rPr>
          <w:lang w:val="sq-AL"/>
        </w:rPr>
        <w:t xml:space="preserve"> dhe Ministrit t</w:t>
      </w:r>
      <w:r w:rsidR="00B72A07">
        <w:rPr>
          <w:lang w:val="sq-AL"/>
        </w:rPr>
        <w:t>ë</w:t>
      </w:r>
      <w:r w:rsidR="00433CD2">
        <w:rPr>
          <w:lang w:val="sq-AL"/>
        </w:rPr>
        <w:t xml:space="preserve"> Shtetit p</w:t>
      </w:r>
      <w:r w:rsidR="00B72A07">
        <w:rPr>
          <w:lang w:val="sq-AL"/>
        </w:rPr>
        <w:t>ë</w:t>
      </w:r>
      <w:r w:rsidR="00433CD2">
        <w:rPr>
          <w:lang w:val="sq-AL"/>
        </w:rPr>
        <w:t>r Marr</w:t>
      </w:r>
      <w:r w:rsidR="00B72A07">
        <w:rPr>
          <w:lang w:val="sq-AL"/>
        </w:rPr>
        <w:t>ë</w:t>
      </w:r>
      <w:r w:rsidR="00433CD2">
        <w:rPr>
          <w:lang w:val="sq-AL"/>
        </w:rPr>
        <w:t>dh</w:t>
      </w:r>
      <w:r w:rsidR="00B72A07">
        <w:rPr>
          <w:lang w:val="sq-AL"/>
        </w:rPr>
        <w:t>ë</w:t>
      </w:r>
      <w:r w:rsidR="00433CD2">
        <w:rPr>
          <w:lang w:val="sq-AL"/>
        </w:rPr>
        <w:t>niet me Parlamentin</w:t>
      </w:r>
      <w:r w:rsidR="00165176" w:rsidRPr="006F4E6F">
        <w:rPr>
          <w:lang w:val="sq-AL"/>
        </w:rPr>
        <w:t>.</w:t>
      </w:r>
    </w:p>
    <w:p w:rsidR="002D0F2D" w:rsidRDefault="002D0F2D" w:rsidP="001F4237">
      <w:pPr>
        <w:spacing w:after="120" w:line="276" w:lineRule="auto"/>
        <w:jc w:val="both"/>
        <w:rPr>
          <w:lang w:val="sq-AL"/>
        </w:rPr>
      </w:pPr>
    </w:p>
    <w:p w:rsidR="00A56710" w:rsidRPr="006F4E6F" w:rsidRDefault="00A56710" w:rsidP="00A56710">
      <w:pPr>
        <w:jc w:val="both"/>
        <w:rPr>
          <w:lang w:val="sq-AL"/>
        </w:rPr>
      </w:pPr>
    </w:p>
    <w:p w:rsidR="00272A99" w:rsidRPr="006F4E6F" w:rsidRDefault="00272A99" w:rsidP="00CD6BA7">
      <w:pPr>
        <w:numPr>
          <w:ilvl w:val="0"/>
          <w:numId w:val="1"/>
        </w:numPr>
        <w:spacing w:after="120" w:line="276" w:lineRule="auto"/>
        <w:ind w:left="720" w:hanging="540"/>
        <w:jc w:val="both"/>
        <w:rPr>
          <w:b/>
          <w:lang w:val="sq-AL"/>
        </w:rPr>
      </w:pPr>
      <w:r w:rsidRPr="006F4E6F">
        <w:rPr>
          <w:b/>
          <w:lang w:val="sq-AL"/>
        </w:rPr>
        <w:t xml:space="preserve">RAPORTI I VLERËSIMIT TË TË ARDHURAVE DHE SHPENZIMEVE BUXHETORE </w:t>
      </w:r>
    </w:p>
    <w:p w:rsidR="006426D5" w:rsidRPr="009D1C4F" w:rsidRDefault="007F6F1D" w:rsidP="006426D5">
      <w:pPr>
        <w:spacing w:line="276" w:lineRule="auto"/>
        <w:contextualSpacing/>
        <w:jc w:val="both"/>
        <w:rPr>
          <w:rFonts w:eastAsia="Times New Roman"/>
          <w:lang w:val="sq-AL"/>
        </w:rPr>
      </w:pPr>
      <w:r>
        <w:rPr>
          <w:lang w:val="sq-AL"/>
        </w:rPr>
        <w:t xml:space="preserve">Ky projektligj </w:t>
      </w:r>
      <w:r w:rsidR="00DB7691">
        <w:rPr>
          <w:lang w:val="sq-AL"/>
        </w:rPr>
        <w:t xml:space="preserve">nuk </w:t>
      </w:r>
      <w:r w:rsidR="006426D5">
        <w:rPr>
          <w:rFonts w:eastAsia="Times New Roman"/>
          <w:lang w:val="sq-AL"/>
        </w:rPr>
        <w:t xml:space="preserve">parashikohet të sjellë efekte në buxhet, </w:t>
      </w:r>
    </w:p>
    <w:p w:rsidR="006426D5" w:rsidRPr="009D1C4F" w:rsidRDefault="006426D5" w:rsidP="006426D5">
      <w:pPr>
        <w:spacing w:line="276" w:lineRule="auto"/>
        <w:contextualSpacing/>
        <w:jc w:val="both"/>
        <w:rPr>
          <w:rFonts w:eastAsia="Times New Roman"/>
          <w:lang w:val="sq-AL"/>
        </w:rPr>
      </w:pPr>
    </w:p>
    <w:p w:rsidR="00391E03" w:rsidRPr="006F4E6F" w:rsidRDefault="00391E03" w:rsidP="00C65424">
      <w:pPr>
        <w:spacing w:after="120" w:line="276" w:lineRule="auto"/>
        <w:jc w:val="both"/>
        <w:rPr>
          <w:rFonts w:eastAsia="MS Mincho"/>
          <w:b/>
          <w:lang w:val="sq-AL" w:eastAsia="en-US"/>
        </w:rPr>
      </w:pPr>
    </w:p>
    <w:p w:rsidR="00456681" w:rsidRDefault="00840767" w:rsidP="00456681">
      <w:pPr>
        <w:spacing w:after="120" w:line="276" w:lineRule="auto"/>
        <w:ind w:left="6480" w:firstLine="720"/>
        <w:jc w:val="both"/>
        <w:rPr>
          <w:lang w:val="sq-AL"/>
        </w:rPr>
      </w:pPr>
      <w:r w:rsidRPr="006F4E6F">
        <w:rPr>
          <w:rFonts w:eastAsia="MS Mincho"/>
          <w:b/>
          <w:lang w:val="sq-AL" w:eastAsia="en-US"/>
        </w:rPr>
        <w:t>MINISTËR</w:t>
      </w:r>
    </w:p>
    <w:p w:rsidR="00CD6BA7" w:rsidRPr="00456681" w:rsidRDefault="004D1618" w:rsidP="00456681">
      <w:pPr>
        <w:spacing w:after="120" w:line="276" w:lineRule="auto"/>
        <w:ind w:left="6480" w:firstLine="720"/>
        <w:jc w:val="both"/>
        <w:rPr>
          <w:lang w:val="sq-AL"/>
        </w:rPr>
      </w:pPr>
      <w:r w:rsidRPr="006F4E6F">
        <w:rPr>
          <w:rFonts w:eastAsia="MS Mincho"/>
          <w:b/>
          <w:lang w:val="sq-AL" w:eastAsia="en-US"/>
        </w:rPr>
        <w:t xml:space="preserve">        </w:t>
      </w:r>
      <w:r w:rsidR="00CD6BA7" w:rsidRPr="006F4E6F">
        <w:rPr>
          <w:rFonts w:eastAsia="MS Mincho"/>
          <w:b/>
          <w:lang w:val="sq-AL" w:eastAsia="en-US"/>
        </w:rPr>
        <w:t xml:space="preserve"> </w:t>
      </w:r>
    </w:p>
    <w:p w:rsidR="00840767" w:rsidRPr="006F4E6F" w:rsidRDefault="00CD6BA7" w:rsidP="00CD6BA7">
      <w:pPr>
        <w:spacing w:after="120" w:line="276" w:lineRule="auto"/>
        <w:ind w:left="5760"/>
        <w:jc w:val="center"/>
        <w:rPr>
          <w:b/>
          <w:lang w:val="sq-AL"/>
        </w:rPr>
      </w:pPr>
      <w:r w:rsidRPr="006F4E6F">
        <w:rPr>
          <w:rFonts w:eastAsia="MS Mincho"/>
          <w:b/>
          <w:lang w:val="sq-AL" w:eastAsia="en-US"/>
        </w:rPr>
        <w:t xml:space="preserve">           </w:t>
      </w:r>
      <w:r w:rsidR="00456681">
        <w:rPr>
          <w:rFonts w:eastAsia="MS Mincho"/>
          <w:b/>
          <w:lang w:val="sq-AL" w:eastAsia="en-US"/>
        </w:rPr>
        <w:t>Anila Denaj</w:t>
      </w:r>
    </w:p>
    <w:p w:rsidR="00F54D0A" w:rsidRPr="006F4E6F" w:rsidRDefault="00F54D0A" w:rsidP="00CD6BA7">
      <w:pPr>
        <w:spacing w:after="120" w:line="276" w:lineRule="auto"/>
        <w:jc w:val="right"/>
        <w:rPr>
          <w:b/>
          <w:lang w:val="sq-AL"/>
        </w:rPr>
      </w:pPr>
    </w:p>
    <w:sectPr w:rsidR="00F54D0A" w:rsidRPr="006F4E6F" w:rsidSect="00F54D0A">
      <w:footerReference w:type="default" r:id="rId8"/>
      <w:pgSz w:w="12240" w:h="15840"/>
      <w:pgMar w:top="851" w:right="1440" w:bottom="113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3EB7" w:rsidRDefault="00DD3EB7" w:rsidP="00546322">
      <w:r>
        <w:separator/>
      </w:r>
    </w:p>
  </w:endnote>
  <w:endnote w:type="continuationSeparator" w:id="0">
    <w:p w:rsidR="00DD3EB7" w:rsidRDefault="00DD3EB7" w:rsidP="00546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4965081"/>
      <w:docPartObj>
        <w:docPartGallery w:val="Page Numbers (Bottom of Page)"/>
        <w:docPartUnique/>
      </w:docPartObj>
    </w:sdtPr>
    <w:sdtEndPr>
      <w:rPr>
        <w:noProof/>
      </w:rPr>
    </w:sdtEndPr>
    <w:sdtContent>
      <w:p w:rsidR="00546322" w:rsidRDefault="00546322">
        <w:pPr>
          <w:pStyle w:val="Footer"/>
          <w:jc w:val="right"/>
        </w:pPr>
        <w:r>
          <w:fldChar w:fldCharType="begin"/>
        </w:r>
        <w:r>
          <w:instrText xml:space="preserve"> PAGE   \* MERGEFORMAT </w:instrText>
        </w:r>
        <w:r>
          <w:fldChar w:fldCharType="separate"/>
        </w:r>
        <w:r w:rsidR="00520C37">
          <w:rPr>
            <w:noProof/>
          </w:rPr>
          <w:t>1</w:t>
        </w:r>
        <w:r>
          <w:rPr>
            <w:noProof/>
          </w:rPr>
          <w:fldChar w:fldCharType="end"/>
        </w:r>
      </w:p>
    </w:sdtContent>
  </w:sdt>
  <w:p w:rsidR="00546322" w:rsidRDefault="005463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3EB7" w:rsidRDefault="00DD3EB7" w:rsidP="00546322">
      <w:r>
        <w:separator/>
      </w:r>
    </w:p>
  </w:footnote>
  <w:footnote w:type="continuationSeparator" w:id="0">
    <w:p w:rsidR="00DD3EB7" w:rsidRDefault="00DD3EB7" w:rsidP="005463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6674D"/>
    <w:multiLevelType w:val="hybridMultilevel"/>
    <w:tmpl w:val="8C24AE22"/>
    <w:lvl w:ilvl="0" w:tplc="EA2AD02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173720"/>
    <w:multiLevelType w:val="hybridMultilevel"/>
    <w:tmpl w:val="76204B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5C79D5"/>
    <w:multiLevelType w:val="hybridMultilevel"/>
    <w:tmpl w:val="55AC1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793F03"/>
    <w:multiLevelType w:val="hybridMultilevel"/>
    <w:tmpl w:val="26AACB0E"/>
    <w:lvl w:ilvl="0" w:tplc="0409000F">
      <w:start w:val="1"/>
      <w:numFmt w:val="decimal"/>
      <w:lvlText w:val="%1."/>
      <w:lvlJc w:val="left"/>
      <w:pPr>
        <w:ind w:left="78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055A7B5F"/>
    <w:multiLevelType w:val="hybridMultilevel"/>
    <w:tmpl w:val="79E81EF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05A528E4"/>
    <w:multiLevelType w:val="hybridMultilevel"/>
    <w:tmpl w:val="A99434B2"/>
    <w:lvl w:ilvl="0" w:tplc="024C705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9C2104D"/>
    <w:multiLevelType w:val="hybridMultilevel"/>
    <w:tmpl w:val="5C4AF062"/>
    <w:lvl w:ilvl="0" w:tplc="7634293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0CD31B38"/>
    <w:multiLevelType w:val="hybridMultilevel"/>
    <w:tmpl w:val="D444F1C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E161EF0"/>
    <w:multiLevelType w:val="hybridMultilevel"/>
    <w:tmpl w:val="7C6E1B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922EDE"/>
    <w:multiLevelType w:val="hybridMultilevel"/>
    <w:tmpl w:val="0DEEAC8C"/>
    <w:lvl w:ilvl="0" w:tplc="115428FE">
      <w:start w:val="1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7304A56"/>
    <w:multiLevelType w:val="hybridMultilevel"/>
    <w:tmpl w:val="292A8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6B1C3D"/>
    <w:multiLevelType w:val="hybridMultilevel"/>
    <w:tmpl w:val="1A76898A"/>
    <w:lvl w:ilvl="0" w:tplc="D79C2ABE">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12259C"/>
    <w:multiLevelType w:val="hybridMultilevel"/>
    <w:tmpl w:val="2F6E0FB0"/>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3">
    <w:nsid w:val="28FA36E9"/>
    <w:multiLevelType w:val="hybridMultilevel"/>
    <w:tmpl w:val="F3080CA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6F03BE"/>
    <w:multiLevelType w:val="multilevel"/>
    <w:tmpl w:val="768A0B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3681237D"/>
    <w:multiLevelType w:val="hybridMultilevel"/>
    <w:tmpl w:val="496ABC86"/>
    <w:lvl w:ilvl="0" w:tplc="187EE760">
      <w:start w:val="1"/>
      <w:numFmt w:val="decimal"/>
      <w:lvlText w:val="%1."/>
      <w:lvlJc w:val="left"/>
      <w:pPr>
        <w:ind w:left="720" w:hanging="360"/>
      </w:pPr>
      <w:rPr>
        <w:rFonts w:ascii="Times New Roman" w:hAnsi="Times New Roman" w:cs="Times New Roman" w:hint="default"/>
        <w:b w:val="0"/>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94084B"/>
    <w:multiLevelType w:val="hybridMultilevel"/>
    <w:tmpl w:val="4D52AC8A"/>
    <w:lvl w:ilvl="0" w:tplc="4BAECF0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6E23DA8"/>
    <w:multiLevelType w:val="hybridMultilevel"/>
    <w:tmpl w:val="283251BC"/>
    <w:lvl w:ilvl="0" w:tplc="9CA056F4">
      <w:start w:val="1"/>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39CE4A2E"/>
    <w:multiLevelType w:val="hybridMultilevel"/>
    <w:tmpl w:val="17824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D1F1901"/>
    <w:multiLevelType w:val="singleLevel"/>
    <w:tmpl w:val="0C7EC236"/>
    <w:lvl w:ilvl="0">
      <w:start w:val="1"/>
      <w:numFmt w:val="lowerRoman"/>
      <w:lvlText w:val="%1)"/>
      <w:lvlJc w:val="left"/>
      <w:pPr>
        <w:tabs>
          <w:tab w:val="num" w:pos="360"/>
        </w:tabs>
        <w:ind w:left="360" w:hanging="360"/>
      </w:pPr>
      <w:rPr>
        <w:rFonts w:ascii="Calibri" w:eastAsia="Times New Roman" w:hAnsi="Calibri" w:cs="Times New Roman"/>
      </w:rPr>
    </w:lvl>
  </w:abstractNum>
  <w:abstractNum w:abstractNumId="20">
    <w:nsid w:val="3D5D477E"/>
    <w:multiLevelType w:val="hybridMultilevel"/>
    <w:tmpl w:val="B63218D0"/>
    <w:lvl w:ilvl="0" w:tplc="5DD2DB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5AD3F57"/>
    <w:multiLevelType w:val="multilevel"/>
    <w:tmpl w:val="4A6202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47333B2B"/>
    <w:multiLevelType w:val="hybridMultilevel"/>
    <w:tmpl w:val="6582B70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7E55AA6"/>
    <w:multiLevelType w:val="hybridMultilevel"/>
    <w:tmpl w:val="9EA24098"/>
    <w:lvl w:ilvl="0" w:tplc="E580E19C">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8720BBD"/>
    <w:multiLevelType w:val="hybridMultilevel"/>
    <w:tmpl w:val="88468796"/>
    <w:lvl w:ilvl="0" w:tplc="4D4CD1F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nsid w:val="4C982E58"/>
    <w:multiLevelType w:val="hybridMultilevel"/>
    <w:tmpl w:val="343061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0F511A8"/>
    <w:multiLevelType w:val="hybridMultilevel"/>
    <w:tmpl w:val="1CDEE296"/>
    <w:lvl w:ilvl="0" w:tplc="5A9CA4CE">
      <w:start w:val="1"/>
      <w:numFmt w:val="decimal"/>
      <w:lvlText w:val="%1."/>
      <w:lvlJc w:val="left"/>
      <w:pPr>
        <w:ind w:left="720" w:hanging="360"/>
      </w:pPr>
      <w:rPr>
        <w:rFonts w:ascii="Arial" w:hAnsi="Arial" w:cs="Arial"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24D0CA1"/>
    <w:multiLevelType w:val="hybridMultilevel"/>
    <w:tmpl w:val="BB9AB11C"/>
    <w:lvl w:ilvl="0" w:tplc="9E6073C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54D82B37"/>
    <w:multiLevelType w:val="hybridMultilevel"/>
    <w:tmpl w:val="265AC98C"/>
    <w:lvl w:ilvl="0" w:tplc="04090017">
      <w:start w:val="1"/>
      <w:numFmt w:val="lowerLetter"/>
      <w:lvlText w:val="%1)"/>
      <w:lvlJc w:val="left"/>
      <w:pPr>
        <w:tabs>
          <w:tab w:val="num" w:pos="1620"/>
        </w:tabs>
        <w:ind w:left="1620" w:hanging="900"/>
      </w:pPr>
      <w:rPr>
        <w:rFonts w:hint="default"/>
        <w:b w:val="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59CE0CE6"/>
    <w:multiLevelType w:val="hybridMultilevel"/>
    <w:tmpl w:val="6ABE6EF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nsid w:val="5AE70B33"/>
    <w:multiLevelType w:val="hybridMultilevel"/>
    <w:tmpl w:val="C62898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D277240"/>
    <w:multiLevelType w:val="hybridMultilevel"/>
    <w:tmpl w:val="12AA427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F1A3AC4"/>
    <w:multiLevelType w:val="hybridMultilevel"/>
    <w:tmpl w:val="7EF4FC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nsid w:val="620E7AAB"/>
    <w:multiLevelType w:val="hybridMultilevel"/>
    <w:tmpl w:val="EAB4C22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A5A3D4B"/>
    <w:multiLevelType w:val="hybridMultilevel"/>
    <w:tmpl w:val="47A61546"/>
    <w:lvl w:ilvl="0" w:tplc="09EAC78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0647F63"/>
    <w:multiLevelType w:val="hybridMultilevel"/>
    <w:tmpl w:val="FD9267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17734D9"/>
    <w:multiLevelType w:val="hybridMultilevel"/>
    <w:tmpl w:val="4992F024"/>
    <w:lvl w:ilvl="0" w:tplc="536A9324">
      <w:start w:val="1"/>
      <w:numFmt w:val="lowerRoman"/>
      <w:lvlText w:val="(%1)"/>
      <w:lvlJc w:val="left"/>
      <w:pPr>
        <w:ind w:left="480" w:hanging="720"/>
      </w:pPr>
      <w:rPr>
        <w:rFonts w:hint="default"/>
      </w:rPr>
    </w:lvl>
    <w:lvl w:ilvl="1" w:tplc="04090019" w:tentative="1">
      <w:start w:val="1"/>
      <w:numFmt w:val="lowerLetter"/>
      <w:lvlText w:val="%2."/>
      <w:lvlJc w:val="left"/>
      <w:pPr>
        <w:ind w:left="840" w:hanging="360"/>
      </w:pPr>
    </w:lvl>
    <w:lvl w:ilvl="2" w:tplc="0409001B" w:tentative="1">
      <w:start w:val="1"/>
      <w:numFmt w:val="lowerRoman"/>
      <w:lvlText w:val="%3."/>
      <w:lvlJc w:val="right"/>
      <w:pPr>
        <w:ind w:left="1560" w:hanging="180"/>
      </w:pPr>
    </w:lvl>
    <w:lvl w:ilvl="3" w:tplc="0409000F" w:tentative="1">
      <w:start w:val="1"/>
      <w:numFmt w:val="decimal"/>
      <w:lvlText w:val="%4."/>
      <w:lvlJc w:val="left"/>
      <w:pPr>
        <w:ind w:left="2280" w:hanging="360"/>
      </w:pPr>
    </w:lvl>
    <w:lvl w:ilvl="4" w:tplc="04090019" w:tentative="1">
      <w:start w:val="1"/>
      <w:numFmt w:val="lowerLetter"/>
      <w:lvlText w:val="%5."/>
      <w:lvlJc w:val="left"/>
      <w:pPr>
        <w:ind w:left="3000" w:hanging="360"/>
      </w:pPr>
    </w:lvl>
    <w:lvl w:ilvl="5" w:tplc="0409001B" w:tentative="1">
      <w:start w:val="1"/>
      <w:numFmt w:val="lowerRoman"/>
      <w:lvlText w:val="%6."/>
      <w:lvlJc w:val="right"/>
      <w:pPr>
        <w:ind w:left="3720" w:hanging="180"/>
      </w:pPr>
    </w:lvl>
    <w:lvl w:ilvl="6" w:tplc="0409000F" w:tentative="1">
      <w:start w:val="1"/>
      <w:numFmt w:val="decimal"/>
      <w:lvlText w:val="%7."/>
      <w:lvlJc w:val="left"/>
      <w:pPr>
        <w:ind w:left="4440" w:hanging="360"/>
      </w:pPr>
    </w:lvl>
    <w:lvl w:ilvl="7" w:tplc="04090019" w:tentative="1">
      <w:start w:val="1"/>
      <w:numFmt w:val="lowerLetter"/>
      <w:lvlText w:val="%8."/>
      <w:lvlJc w:val="left"/>
      <w:pPr>
        <w:ind w:left="5160" w:hanging="360"/>
      </w:pPr>
    </w:lvl>
    <w:lvl w:ilvl="8" w:tplc="0409001B" w:tentative="1">
      <w:start w:val="1"/>
      <w:numFmt w:val="lowerRoman"/>
      <w:lvlText w:val="%9."/>
      <w:lvlJc w:val="right"/>
      <w:pPr>
        <w:ind w:left="5880" w:hanging="180"/>
      </w:pPr>
    </w:lvl>
  </w:abstractNum>
  <w:abstractNum w:abstractNumId="37">
    <w:nsid w:val="750F0354"/>
    <w:multiLevelType w:val="hybridMultilevel"/>
    <w:tmpl w:val="92787AB2"/>
    <w:lvl w:ilvl="0" w:tplc="08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765B631D"/>
    <w:multiLevelType w:val="singleLevel"/>
    <w:tmpl w:val="E31C3866"/>
    <w:lvl w:ilvl="0">
      <w:start w:val="1"/>
      <w:numFmt w:val="lowerRoman"/>
      <w:lvlText w:val="%1)"/>
      <w:lvlJc w:val="left"/>
      <w:pPr>
        <w:tabs>
          <w:tab w:val="num" w:pos="360"/>
        </w:tabs>
        <w:ind w:left="360" w:hanging="360"/>
      </w:pPr>
      <w:rPr>
        <w:rFonts w:ascii="Calibri" w:eastAsia="Times New Roman" w:hAnsi="Calibri" w:cs="Times New Roman"/>
      </w:rPr>
    </w:lvl>
  </w:abstractNum>
  <w:abstractNum w:abstractNumId="39">
    <w:nsid w:val="772A6048"/>
    <w:multiLevelType w:val="hybridMultilevel"/>
    <w:tmpl w:val="FF0C0132"/>
    <w:lvl w:ilvl="0" w:tplc="7A2E9440">
      <w:start w:val="5"/>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7682B1B"/>
    <w:multiLevelType w:val="hybridMultilevel"/>
    <w:tmpl w:val="0CAA115E"/>
    <w:lvl w:ilvl="0" w:tplc="0DCA466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nsid w:val="78B3369B"/>
    <w:multiLevelType w:val="hybridMultilevel"/>
    <w:tmpl w:val="FA9E24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AD91FB2"/>
    <w:multiLevelType w:val="hybridMultilevel"/>
    <w:tmpl w:val="005653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28"/>
  </w:num>
  <w:num w:numId="4">
    <w:abstractNumId w:val="23"/>
  </w:num>
  <w:num w:numId="5">
    <w:abstractNumId w:val="27"/>
  </w:num>
  <w:num w:numId="6">
    <w:abstractNumId w:val="40"/>
  </w:num>
  <w:num w:numId="7">
    <w:abstractNumId w:val="20"/>
  </w:num>
  <w:num w:numId="8">
    <w:abstractNumId w:val="6"/>
  </w:num>
  <w:num w:numId="9">
    <w:abstractNumId w:val="32"/>
  </w:num>
  <w:num w:numId="10">
    <w:abstractNumId w:val="22"/>
  </w:num>
  <w:num w:numId="11">
    <w:abstractNumId w:val="5"/>
  </w:num>
  <w:num w:numId="12">
    <w:abstractNumId w:val="16"/>
  </w:num>
  <w:num w:numId="13">
    <w:abstractNumId w:val="25"/>
  </w:num>
  <w:num w:numId="14">
    <w:abstractNumId w:val="26"/>
  </w:num>
  <w:num w:numId="15">
    <w:abstractNumId w:val="24"/>
  </w:num>
  <w:num w:numId="16">
    <w:abstractNumId w:val="15"/>
  </w:num>
  <w:num w:numId="17">
    <w:abstractNumId w:val="36"/>
  </w:num>
  <w:num w:numId="18">
    <w:abstractNumId w:val="41"/>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33"/>
  </w:num>
  <w:num w:numId="24">
    <w:abstractNumId w:val="7"/>
  </w:num>
  <w:num w:numId="25">
    <w:abstractNumId w:val="30"/>
  </w:num>
  <w:num w:numId="26">
    <w:abstractNumId w:val="17"/>
  </w:num>
  <w:num w:numId="27">
    <w:abstractNumId w:val="31"/>
  </w:num>
  <w:num w:numId="28">
    <w:abstractNumId w:val="13"/>
  </w:num>
  <w:num w:numId="29">
    <w:abstractNumId w:val="18"/>
  </w:num>
  <w:num w:numId="30">
    <w:abstractNumId w:val="1"/>
  </w:num>
  <w:num w:numId="31">
    <w:abstractNumId w:val="35"/>
  </w:num>
  <w:num w:numId="32">
    <w:abstractNumId w:val="8"/>
  </w:num>
  <w:num w:numId="33">
    <w:abstractNumId w:val="9"/>
  </w:num>
  <w:num w:numId="34">
    <w:abstractNumId w:val="2"/>
  </w:num>
  <w:num w:numId="35">
    <w:abstractNumId w:val="0"/>
  </w:num>
  <w:num w:numId="36">
    <w:abstractNumId w:val="42"/>
  </w:num>
  <w:num w:numId="37">
    <w:abstractNumId w:val="12"/>
  </w:num>
  <w:num w:numId="38">
    <w:abstractNumId w:val="34"/>
  </w:num>
  <w:num w:numId="39">
    <w:abstractNumId w:val="14"/>
  </w:num>
  <w:num w:numId="40">
    <w:abstractNumId w:val="21"/>
  </w:num>
  <w:num w:numId="41">
    <w:abstractNumId w:val="37"/>
  </w:num>
  <w:num w:numId="42">
    <w:abstractNumId w:val="38"/>
  </w:num>
  <w:num w:numId="43">
    <w:abstractNumId w:val="19"/>
  </w:num>
  <w:num w:numId="4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389"/>
    <w:rsid w:val="000062D7"/>
    <w:rsid w:val="000125AC"/>
    <w:rsid w:val="000166CC"/>
    <w:rsid w:val="0002551D"/>
    <w:rsid w:val="00030C13"/>
    <w:rsid w:val="00032567"/>
    <w:rsid w:val="00033DE3"/>
    <w:rsid w:val="00037661"/>
    <w:rsid w:val="000424AD"/>
    <w:rsid w:val="00046AFD"/>
    <w:rsid w:val="000505AA"/>
    <w:rsid w:val="00056681"/>
    <w:rsid w:val="000576CD"/>
    <w:rsid w:val="0005797F"/>
    <w:rsid w:val="00062F83"/>
    <w:rsid w:val="0006573F"/>
    <w:rsid w:val="00065D17"/>
    <w:rsid w:val="00072604"/>
    <w:rsid w:val="00072FDB"/>
    <w:rsid w:val="00073F28"/>
    <w:rsid w:val="00074664"/>
    <w:rsid w:val="000773F0"/>
    <w:rsid w:val="00077687"/>
    <w:rsid w:val="00080555"/>
    <w:rsid w:val="00084025"/>
    <w:rsid w:val="000874BB"/>
    <w:rsid w:val="000876F7"/>
    <w:rsid w:val="00087C5A"/>
    <w:rsid w:val="00090032"/>
    <w:rsid w:val="00090764"/>
    <w:rsid w:val="00090B76"/>
    <w:rsid w:val="000912C8"/>
    <w:rsid w:val="00092D9C"/>
    <w:rsid w:val="00093A05"/>
    <w:rsid w:val="0009698F"/>
    <w:rsid w:val="000976B0"/>
    <w:rsid w:val="000A451A"/>
    <w:rsid w:val="000A526E"/>
    <w:rsid w:val="000A5FB9"/>
    <w:rsid w:val="000B12D5"/>
    <w:rsid w:val="000B28D0"/>
    <w:rsid w:val="000B4078"/>
    <w:rsid w:val="000B4D70"/>
    <w:rsid w:val="000B5FB7"/>
    <w:rsid w:val="000B60AE"/>
    <w:rsid w:val="000C3A6B"/>
    <w:rsid w:val="000C6560"/>
    <w:rsid w:val="000C7D07"/>
    <w:rsid w:val="000C7F9C"/>
    <w:rsid w:val="000D1190"/>
    <w:rsid w:val="000D4786"/>
    <w:rsid w:val="000D6290"/>
    <w:rsid w:val="000E5DA9"/>
    <w:rsid w:val="000F1D06"/>
    <w:rsid w:val="000F3E95"/>
    <w:rsid w:val="000F6E09"/>
    <w:rsid w:val="000F7E4E"/>
    <w:rsid w:val="00101E1A"/>
    <w:rsid w:val="0010275A"/>
    <w:rsid w:val="00103932"/>
    <w:rsid w:val="001039B2"/>
    <w:rsid w:val="00103C2F"/>
    <w:rsid w:val="00103E0C"/>
    <w:rsid w:val="00106CDC"/>
    <w:rsid w:val="001128D6"/>
    <w:rsid w:val="00112CF3"/>
    <w:rsid w:val="001150CE"/>
    <w:rsid w:val="0011695D"/>
    <w:rsid w:val="00116B7C"/>
    <w:rsid w:val="00117DE1"/>
    <w:rsid w:val="00120706"/>
    <w:rsid w:val="00122643"/>
    <w:rsid w:val="00124F5E"/>
    <w:rsid w:val="001267AA"/>
    <w:rsid w:val="0012769F"/>
    <w:rsid w:val="001336CF"/>
    <w:rsid w:val="001431BF"/>
    <w:rsid w:val="00144E94"/>
    <w:rsid w:val="00153549"/>
    <w:rsid w:val="001540B5"/>
    <w:rsid w:val="00155657"/>
    <w:rsid w:val="00156C16"/>
    <w:rsid w:val="00156D0C"/>
    <w:rsid w:val="00157DFB"/>
    <w:rsid w:val="00164BE4"/>
    <w:rsid w:val="00165176"/>
    <w:rsid w:val="00170D65"/>
    <w:rsid w:val="001720E1"/>
    <w:rsid w:val="00173990"/>
    <w:rsid w:val="0017601F"/>
    <w:rsid w:val="00177467"/>
    <w:rsid w:val="0018009A"/>
    <w:rsid w:val="001836B6"/>
    <w:rsid w:val="00184377"/>
    <w:rsid w:val="0018470F"/>
    <w:rsid w:val="001849C5"/>
    <w:rsid w:val="001934CC"/>
    <w:rsid w:val="001A1C1C"/>
    <w:rsid w:val="001A1EF7"/>
    <w:rsid w:val="001A74EA"/>
    <w:rsid w:val="001B06FC"/>
    <w:rsid w:val="001B0C1C"/>
    <w:rsid w:val="001B30F9"/>
    <w:rsid w:val="001B3E93"/>
    <w:rsid w:val="001B5B57"/>
    <w:rsid w:val="001C1738"/>
    <w:rsid w:val="001C21AA"/>
    <w:rsid w:val="001C6007"/>
    <w:rsid w:val="001C6CF7"/>
    <w:rsid w:val="001C79A6"/>
    <w:rsid w:val="001D5D4C"/>
    <w:rsid w:val="001D6EFC"/>
    <w:rsid w:val="001D788B"/>
    <w:rsid w:val="001D7CA5"/>
    <w:rsid w:val="001E01EE"/>
    <w:rsid w:val="001E4149"/>
    <w:rsid w:val="001E4F9A"/>
    <w:rsid w:val="001F17F7"/>
    <w:rsid w:val="001F4237"/>
    <w:rsid w:val="001F4B3E"/>
    <w:rsid w:val="001F51E1"/>
    <w:rsid w:val="001F673B"/>
    <w:rsid w:val="001F735C"/>
    <w:rsid w:val="00202725"/>
    <w:rsid w:val="0020756B"/>
    <w:rsid w:val="0020769F"/>
    <w:rsid w:val="002121E6"/>
    <w:rsid w:val="0021303C"/>
    <w:rsid w:val="00213A4D"/>
    <w:rsid w:val="00215131"/>
    <w:rsid w:val="00217ACB"/>
    <w:rsid w:val="002201B4"/>
    <w:rsid w:val="00240FA6"/>
    <w:rsid w:val="002446EF"/>
    <w:rsid w:val="0024531D"/>
    <w:rsid w:val="002473CA"/>
    <w:rsid w:val="00252562"/>
    <w:rsid w:val="00254151"/>
    <w:rsid w:val="00255396"/>
    <w:rsid w:val="00257E79"/>
    <w:rsid w:val="00261805"/>
    <w:rsid w:val="002634E8"/>
    <w:rsid w:val="002674C8"/>
    <w:rsid w:val="00271E88"/>
    <w:rsid w:val="00272A99"/>
    <w:rsid w:val="0027426A"/>
    <w:rsid w:val="00281433"/>
    <w:rsid w:val="00281A33"/>
    <w:rsid w:val="00282549"/>
    <w:rsid w:val="00282A55"/>
    <w:rsid w:val="0028334B"/>
    <w:rsid w:val="00293577"/>
    <w:rsid w:val="00294DD3"/>
    <w:rsid w:val="00296580"/>
    <w:rsid w:val="002A1D2C"/>
    <w:rsid w:val="002A217A"/>
    <w:rsid w:val="002C18BD"/>
    <w:rsid w:val="002C23B9"/>
    <w:rsid w:val="002C2F8C"/>
    <w:rsid w:val="002C5201"/>
    <w:rsid w:val="002C5963"/>
    <w:rsid w:val="002D0D36"/>
    <w:rsid w:val="002D0F2D"/>
    <w:rsid w:val="002D564E"/>
    <w:rsid w:val="002D5CD8"/>
    <w:rsid w:val="002F0D88"/>
    <w:rsid w:val="002F1335"/>
    <w:rsid w:val="002F2E00"/>
    <w:rsid w:val="002F3D83"/>
    <w:rsid w:val="002F5082"/>
    <w:rsid w:val="002F62F0"/>
    <w:rsid w:val="002F7189"/>
    <w:rsid w:val="00301124"/>
    <w:rsid w:val="00310FFB"/>
    <w:rsid w:val="003122FE"/>
    <w:rsid w:val="00321357"/>
    <w:rsid w:val="00325E3C"/>
    <w:rsid w:val="00332610"/>
    <w:rsid w:val="003327A6"/>
    <w:rsid w:val="00332F3A"/>
    <w:rsid w:val="00337570"/>
    <w:rsid w:val="003406D8"/>
    <w:rsid w:val="00345670"/>
    <w:rsid w:val="00346927"/>
    <w:rsid w:val="0034780E"/>
    <w:rsid w:val="003563D9"/>
    <w:rsid w:val="00360389"/>
    <w:rsid w:val="00363FAE"/>
    <w:rsid w:val="00365505"/>
    <w:rsid w:val="00370BBD"/>
    <w:rsid w:val="00371221"/>
    <w:rsid w:val="00373C68"/>
    <w:rsid w:val="0038190B"/>
    <w:rsid w:val="00384B0F"/>
    <w:rsid w:val="00384CE3"/>
    <w:rsid w:val="00385F81"/>
    <w:rsid w:val="00391E03"/>
    <w:rsid w:val="00393789"/>
    <w:rsid w:val="00393D73"/>
    <w:rsid w:val="00395063"/>
    <w:rsid w:val="00396A2E"/>
    <w:rsid w:val="003A073A"/>
    <w:rsid w:val="003A49AA"/>
    <w:rsid w:val="003B262F"/>
    <w:rsid w:val="003B2D13"/>
    <w:rsid w:val="003B4BD3"/>
    <w:rsid w:val="003B678E"/>
    <w:rsid w:val="003C4618"/>
    <w:rsid w:val="003D6F21"/>
    <w:rsid w:val="003E09F2"/>
    <w:rsid w:val="003E1905"/>
    <w:rsid w:val="003E46AA"/>
    <w:rsid w:val="003E4BC0"/>
    <w:rsid w:val="003E68AC"/>
    <w:rsid w:val="00400090"/>
    <w:rsid w:val="00400450"/>
    <w:rsid w:val="004015B4"/>
    <w:rsid w:val="00403D6D"/>
    <w:rsid w:val="004142ED"/>
    <w:rsid w:val="004146AE"/>
    <w:rsid w:val="00415F53"/>
    <w:rsid w:val="00421A1E"/>
    <w:rsid w:val="0042562E"/>
    <w:rsid w:val="0042567E"/>
    <w:rsid w:val="0043100C"/>
    <w:rsid w:val="004331FB"/>
    <w:rsid w:val="00433CD2"/>
    <w:rsid w:val="00434042"/>
    <w:rsid w:val="0043523A"/>
    <w:rsid w:val="00435A0F"/>
    <w:rsid w:val="00437394"/>
    <w:rsid w:val="00444605"/>
    <w:rsid w:val="004461E7"/>
    <w:rsid w:val="0045073B"/>
    <w:rsid w:val="00456681"/>
    <w:rsid w:val="00467136"/>
    <w:rsid w:val="004713F2"/>
    <w:rsid w:val="00471921"/>
    <w:rsid w:val="00472F16"/>
    <w:rsid w:val="00473CB2"/>
    <w:rsid w:val="00475689"/>
    <w:rsid w:val="00481026"/>
    <w:rsid w:val="004846B1"/>
    <w:rsid w:val="00485966"/>
    <w:rsid w:val="00487FA4"/>
    <w:rsid w:val="004900BC"/>
    <w:rsid w:val="00492F14"/>
    <w:rsid w:val="00497762"/>
    <w:rsid w:val="0049782C"/>
    <w:rsid w:val="004A22B4"/>
    <w:rsid w:val="004A3C56"/>
    <w:rsid w:val="004A4610"/>
    <w:rsid w:val="004A59CA"/>
    <w:rsid w:val="004A7783"/>
    <w:rsid w:val="004B0405"/>
    <w:rsid w:val="004B0D37"/>
    <w:rsid w:val="004B23BC"/>
    <w:rsid w:val="004C168B"/>
    <w:rsid w:val="004C5490"/>
    <w:rsid w:val="004C5B9C"/>
    <w:rsid w:val="004C61AB"/>
    <w:rsid w:val="004D0259"/>
    <w:rsid w:val="004D1618"/>
    <w:rsid w:val="004D4218"/>
    <w:rsid w:val="004D5969"/>
    <w:rsid w:val="004D7450"/>
    <w:rsid w:val="004D7FE5"/>
    <w:rsid w:val="004E285C"/>
    <w:rsid w:val="004E4D72"/>
    <w:rsid w:val="004F13DC"/>
    <w:rsid w:val="004F1FD7"/>
    <w:rsid w:val="004F2E2E"/>
    <w:rsid w:val="004F5495"/>
    <w:rsid w:val="005024BC"/>
    <w:rsid w:val="00503B89"/>
    <w:rsid w:val="00505403"/>
    <w:rsid w:val="005056AD"/>
    <w:rsid w:val="00512A24"/>
    <w:rsid w:val="005171E1"/>
    <w:rsid w:val="005200D8"/>
    <w:rsid w:val="00520C37"/>
    <w:rsid w:val="00522AD3"/>
    <w:rsid w:val="005233F3"/>
    <w:rsid w:val="00526585"/>
    <w:rsid w:val="0052661A"/>
    <w:rsid w:val="00530D0D"/>
    <w:rsid w:val="005319AA"/>
    <w:rsid w:val="005361F7"/>
    <w:rsid w:val="00536DE8"/>
    <w:rsid w:val="005373B5"/>
    <w:rsid w:val="00542CED"/>
    <w:rsid w:val="00543619"/>
    <w:rsid w:val="00544876"/>
    <w:rsid w:val="00546322"/>
    <w:rsid w:val="0055002F"/>
    <w:rsid w:val="00551E5C"/>
    <w:rsid w:val="00552077"/>
    <w:rsid w:val="005571B7"/>
    <w:rsid w:val="00557775"/>
    <w:rsid w:val="005640F0"/>
    <w:rsid w:val="0056684D"/>
    <w:rsid w:val="00570044"/>
    <w:rsid w:val="005708B1"/>
    <w:rsid w:val="00581DEF"/>
    <w:rsid w:val="005849B3"/>
    <w:rsid w:val="00584B8E"/>
    <w:rsid w:val="00590E98"/>
    <w:rsid w:val="00593E49"/>
    <w:rsid w:val="005974C9"/>
    <w:rsid w:val="005A16B2"/>
    <w:rsid w:val="005A54C2"/>
    <w:rsid w:val="005A6E92"/>
    <w:rsid w:val="005B5D5A"/>
    <w:rsid w:val="005C0372"/>
    <w:rsid w:val="005C1797"/>
    <w:rsid w:val="005C33BE"/>
    <w:rsid w:val="005C658C"/>
    <w:rsid w:val="005C7F26"/>
    <w:rsid w:val="005D3F99"/>
    <w:rsid w:val="005E2F92"/>
    <w:rsid w:val="005E4C4D"/>
    <w:rsid w:val="005F136E"/>
    <w:rsid w:val="00600321"/>
    <w:rsid w:val="006030CB"/>
    <w:rsid w:val="0060337E"/>
    <w:rsid w:val="006039AF"/>
    <w:rsid w:val="00607080"/>
    <w:rsid w:val="00610621"/>
    <w:rsid w:val="00620F63"/>
    <w:rsid w:val="00621A90"/>
    <w:rsid w:val="006242DF"/>
    <w:rsid w:val="006252B6"/>
    <w:rsid w:val="0062735C"/>
    <w:rsid w:val="00632B5D"/>
    <w:rsid w:val="00633996"/>
    <w:rsid w:val="00633A3E"/>
    <w:rsid w:val="00633DCC"/>
    <w:rsid w:val="006374F2"/>
    <w:rsid w:val="00640E5E"/>
    <w:rsid w:val="006426D5"/>
    <w:rsid w:val="00646F86"/>
    <w:rsid w:val="006525E0"/>
    <w:rsid w:val="0065333D"/>
    <w:rsid w:val="00653D88"/>
    <w:rsid w:val="0066073C"/>
    <w:rsid w:val="00664A25"/>
    <w:rsid w:val="00664B49"/>
    <w:rsid w:val="00674FCD"/>
    <w:rsid w:val="006760B1"/>
    <w:rsid w:val="00680C49"/>
    <w:rsid w:val="006822BD"/>
    <w:rsid w:val="006846FE"/>
    <w:rsid w:val="00686CB9"/>
    <w:rsid w:val="00687779"/>
    <w:rsid w:val="00687FEC"/>
    <w:rsid w:val="0069347F"/>
    <w:rsid w:val="006945ED"/>
    <w:rsid w:val="0069464A"/>
    <w:rsid w:val="006A0287"/>
    <w:rsid w:val="006A3BD0"/>
    <w:rsid w:val="006A4018"/>
    <w:rsid w:val="006B0366"/>
    <w:rsid w:val="006B2611"/>
    <w:rsid w:val="006B54BC"/>
    <w:rsid w:val="006B72D7"/>
    <w:rsid w:val="006B7729"/>
    <w:rsid w:val="006B7835"/>
    <w:rsid w:val="006B7C2E"/>
    <w:rsid w:val="006C5B58"/>
    <w:rsid w:val="006C663A"/>
    <w:rsid w:val="006C7B7C"/>
    <w:rsid w:val="006D201C"/>
    <w:rsid w:val="006D25F2"/>
    <w:rsid w:val="006D380C"/>
    <w:rsid w:val="006D3F5F"/>
    <w:rsid w:val="006D44B9"/>
    <w:rsid w:val="006D64B7"/>
    <w:rsid w:val="006E4942"/>
    <w:rsid w:val="006E6982"/>
    <w:rsid w:val="006E7172"/>
    <w:rsid w:val="006F2069"/>
    <w:rsid w:val="006F4E6F"/>
    <w:rsid w:val="007010F3"/>
    <w:rsid w:val="007012D4"/>
    <w:rsid w:val="007015E0"/>
    <w:rsid w:val="00702282"/>
    <w:rsid w:val="00702702"/>
    <w:rsid w:val="00703DB3"/>
    <w:rsid w:val="0070423C"/>
    <w:rsid w:val="007043DD"/>
    <w:rsid w:val="00706B71"/>
    <w:rsid w:val="0071213A"/>
    <w:rsid w:val="00712436"/>
    <w:rsid w:val="007126E2"/>
    <w:rsid w:val="00712C27"/>
    <w:rsid w:val="00713695"/>
    <w:rsid w:val="00714672"/>
    <w:rsid w:val="007153E6"/>
    <w:rsid w:val="00716838"/>
    <w:rsid w:val="007208C1"/>
    <w:rsid w:val="00721CED"/>
    <w:rsid w:val="00724D3A"/>
    <w:rsid w:val="00725F60"/>
    <w:rsid w:val="007263B9"/>
    <w:rsid w:val="0072759E"/>
    <w:rsid w:val="00733567"/>
    <w:rsid w:val="007339EB"/>
    <w:rsid w:val="007361C3"/>
    <w:rsid w:val="00743BF5"/>
    <w:rsid w:val="00744A3C"/>
    <w:rsid w:val="00745512"/>
    <w:rsid w:val="00751BA2"/>
    <w:rsid w:val="007529D2"/>
    <w:rsid w:val="00760424"/>
    <w:rsid w:val="00760D09"/>
    <w:rsid w:val="0076440E"/>
    <w:rsid w:val="007671AD"/>
    <w:rsid w:val="00767358"/>
    <w:rsid w:val="007725B4"/>
    <w:rsid w:val="0077303B"/>
    <w:rsid w:val="00774BE9"/>
    <w:rsid w:val="00776F91"/>
    <w:rsid w:val="007775D2"/>
    <w:rsid w:val="0078214C"/>
    <w:rsid w:val="00782B3F"/>
    <w:rsid w:val="00784BB8"/>
    <w:rsid w:val="00784CB8"/>
    <w:rsid w:val="0078607C"/>
    <w:rsid w:val="00787357"/>
    <w:rsid w:val="007A104B"/>
    <w:rsid w:val="007A1F83"/>
    <w:rsid w:val="007A20C3"/>
    <w:rsid w:val="007A2DE8"/>
    <w:rsid w:val="007A40FD"/>
    <w:rsid w:val="007A4C87"/>
    <w:rsid w:val="007A60C9"/>
    <w:rsid w:val="007B10C2"/>
    <w:rsid w:val="007B786C"/>
    <w:rsid w:val="007C242C"/>
    <w:rsid w:val="007C2554"/>
    <w:rsid w:val="007C450F"/>
    <w:rsid w:val="007C5AEC"/>
    <w:rsid w:val="007C5FE1"/>
    <w:rsid w:val="007D20EB"/>
    <w:rsid w:val="007D6527"/>
    <w:rsid w:val="007D6B9B"/>
    <w:rsid w:val="007E3060"/>
    <w:rsid w:val="007E3901"/>
    <w:rsid w:val="007E6827"/>
    <w:rsid w:val="007F43CB"/>
    <w:rsid w:val="007F4F72"/>
    <w:rsid w:val="007F5F2C"/>
    <w:rsid w:val="007F6F1D"/>
    <w:rsid w:val="00801F91"/>
    <w:rsid w:val="0080256E"/>
    <w:rsid w:val="00803D99"/>
    <w:rsid w:val="00804467"/>
    <w:rsid w:val="00804AE3"/>
    <w:rsid w:val="00806C60"/>
    <w:rsid w:val="00812CA1"/>
    <w:rsid w:val="00820E6B"/>
    <w:rsid w:val="00821D0B"/>
    <w:rsid w:val="008242CE"/>
    <w:rsid w:val="0082534A"/>
    <w:rsid w:val="008264F9"/>
    <w:rsid w:val="00830298"/>
    <w:rsid w:val="00836F24"/>
    <w:rsid w:val="00837CA9"/>
    <w:rsid w:val="00840767"/>
    <w:rsid w:val="00846E12"/>
    <w:rsid w:val="00856402"/>
    <w:rsid w:val="008640C5"/>
    <w:rsid w:val="00865838"/>
    <w:rsid w:val="00867600"/>
    <w:rsid w:val="00870ACE"/>
    <w:rsid w:val="00874DB7"/>
    <w:rsid w:val="0087604E"/>
    <w:rsid w:val="00881272"/>
    <w:rsid w:val="008825F1"/>
    <w:rsid w:val="00882AC0"/>
    <w:rsid w:val="00883D81"/>
    <w:rsid w:val="00891444"/>
    <w:rsid w:val="008934F5"/>
    <w:rsid w:val="008938F3"/>
    <w:rsid w:val="00894311"/>
    <w:rsid w:val="008943D6"/>
    <w:rsid w:val="008A0F7E"/>
    <w:rsid w:val="008A4E24"/>
    <w:rsid w:val="008A55F1"/>
    <w:rsid w:val="008A6AE1"/>
    <w:rsid w:val="008A7049"/>
    <w:rsid w:val="008A77A0"/>
    <w:rsid w:val="008A7960"/>
    <w:rsid w:val="008B1C27"/>
    <w:rsid w:val="008B3F86"/>
    <w:rsid w:val="008B5B3D"/>
    <w:rsid w:val="008C0217"/>
    <w:rsid w:val="008C357D"/>
    <w:rsid w:val="008C3A12"/>
    <w:rsid w:val="008C5DB7"/>
    <w:rsid w:val="008C687D"/>
    <w:rsid w:val="008D0605"/>
    <w:rsid w:val="008D4C24"/>
    <w:rsid w:val="008D52B2"/>
    <w:rsid w:val="008D6068"/>
    <w:rsid w:val="008D62E7"/>
    <w:rsid w:val="008E077A"/>
    <w:rsid w:val="008E5ED4"/>
    <w:rsid w:val="008E6402"/>
    <w:rsid w:val="008E718A"/>
    <w:rsid w:val="008F05CD"/>
    <w:rsid w:val="008F125B"/>
    <w:rsid w:val="008F1433"/>
    <w:rsid w:val="008F39A7"/>
    <w:rsid w:val="00902116"/>
    <w:rsid w:val="00902C39"/>
    <w:rsid w:val="00904B94"/>
    <w:rsid w:val="00912480"/>
    <w:rsid w:val="00913338"/>
    <w:rsid w:val="00920E5A"/>
    <w:rsid w:val="0092582C"/>
    <w:rsid w:val="00930883"/>
    <w:rsid w:val="009323E3"/>
    <w:rsid w:val="00933310"/>
    <w:rsid w:val="00940879"/>
    <w:rsid w:val="00941FB0"/>
    <w:rsid w:val="009426BE"/>
    <w:rsid w:val="00942E58"/>
    <w:rsid w:val="00944A40"/>
    <w:rsid w:val="0094521D"/>
    <w:rsid w:val="00950677"/>
    <w:rsid w:val="009515A0"/>
    <w:rsid w:val="009518B5"/>
    <w:rsid w:val="00954361"/>
    <w:rsid w:val="00955F22"/>
    <w:rsid w:val="00973F52"/>
    <w:rsid w:val="00980823"/>
    <w:rsid w:val="00981B6D"/>
    <w:rsid w:val="009846E5"/>
    <w:rsid w:val="00985C05"/>
    <w:rsid w:val="00995E52"/>
    <w:rsid w:val="009A0956"/>
    <w:rsid w:val="009A7F5F"/>
    <w:rsid w:val="009B0D1F"/>
    <w:rsid w:val="009B2556"/>
    <w:rsid w:val="009C1BE7"/>
    <w:rsid w:val="009C2EB2"/>
    <w:rsid w:val="009D25F0"/>
    <w:rsid w:val="009D38BC"/>
    <w:rsid w:val="009E53A0"/>
    <w:rsid w:val="009E6BC8"/>
    <w:rsid w:val="009F1CB4"/>
    <w:rsid w:val="009F2961"/>
    <w:rsid w:val="009F3270"/>
    <w:rsid w:val="009F3C06"/>
    <w:rsid w:val="009F458C"/>
    <w:rsid w:val="00A01CC9"/>
    <w:rsid w:val="00A05526"/>
    <w:rsid w:val="00A058FF"/>
    <w:rsid w:val="00A06A55"/>
    <w:rsid w:val="00A06EE6"/>
    <w:rsid w:val="00A073E8"/>
    <w:rsid w:val="00A076C7"/>
    <w:rsid w:val="00A07D2E"/>
    <w:rsid w:val="00A10B78"/>
    <w:rsid w:val="00A10FC1"/>
    <w:rsid w:val="00A135BD"/>
    <w:rsid w:val="00A14A7D"/>
    <w:rsid w:val="00A17193"/>
    <w:rsid w:val="00A20E34"/>
    <w:rsid w:val="00A2136C"/>
    <w:rsid w:val="00A236C6"/>
    <w:rsid w:val="00A24823"/>
    <w:rsid w:val="00A26670"/>
    <w:rsid w:val="00A34659"/>
    <w:rsid w:val="00A41546"/>
    <w:rsid w:val="00A506B0"/>
    <w:rsid w:val="00A538D0"/>
    <w:rsid w:val="00A5569E"/>
    <w:rsid w:val="00A56710"/>
    <w:rsid w:val="00A576EF"/>
    <w:rsid w:val="00A64308"/>
    <w:rsid w:val="00A6498F"/>
    <w:rsid w:val="00A71F9E"/>
    <w:rsid w:val="00A72385"/>
    <w:rsid w:val="00A73191"/>
    <w:rsid w:val="00A7464E"/>
    <w:rsid w:val="00A77ED1"/>
    <w:rsid w:val="00A80AB0"/>
    <w:rsid w:val="00A838D3"/>
    <w:rsid w:val="00A83D3C"/>
    <w:rsid w:val="00A879E5"/>
    <w:rsid w:val="00A93582"/>
    <w:rsid w:val="00AA06AB"/>
    <w:rsid w:val="00AA0E0A"/>
    <w:rsid w:val="00AA305A"/>
    <w:rsid w:val="00AB25A5"/>
    <w:rsid w:val="00AB4398"/>
    <w:rsid w:val="00AB5F23"/>
    <w:rsid w:val="00AC4EFB"/>
    <w:rsid w:val="00AC6403"/>
    <w:rsid w:val="00AC70B3"/>
    <w:rsid w:val="00AD1E83"/>
    <w:rsid w:val="00AD2222"/>
    <w:rsid w:val="00AD4F00"/>
    <w:rsid w:val="00AF262F"/>
    <w:rsid w:val="00AF3F25"/>
    <w:rsid w:val="00AF5543"/>
    <w:rsid w:val="00AF6418"/>
    <w:rsid w:val="00AF6B68"/>
    <w:rsid w:val="00B038D0"/>
    <w:rsid w:val="00B0585F"/>
    <w:rsid w:val="00B05EA7"/>
    <w:rsid w:val="00B1008F"/>
    <w:rsid w:val="00B1091C"/>
    <w:rsid w:val="00B141B1"/>
    <w:rsid w:val="00B203B2"/>
    <w:rsid w:val="00B20E80"/>
    <w:rsid w:val="00B22B95"/>
    <w:rsid w:val="00B22CB1"/>
    <w:rsid w:val="00B238FB"/>
    <w:rsid w:val="00B249A8"/>
    <w:rsid w:val="00B341A7"/>
    <w:rsid w:val="00B34820"/>
    <w:rsid w:val="00B408DA"/>
    <w:rsid w:val="00B415B3"/>
    <w:rsid w:val="00B415D5"/>
    <w:rsid w:val="00B4445A"/>
    <w:rsid w:val="00B447A7"/>
    <w:rsid w:val="00B45857"/>
    <w:rsid w:val="00B556F7"/>
    <w:rsid w:val="00B56A0D"/>
    <w:rsid w:val="00B629B1"/>
    <w:rsid w:val="00B650C9"/>
    <w:rsid w:val="00B65DEB"/>
    <w:rsid w:val="00B66369"/>
    <w:rsid w:val="00B67CF4"/>
    <w:rsid w:val="00B72A07"/>
    <w:rsid w:val="00B751E5"/>
    <w:rsid w:val="00B76596"/>
    <w:rsid w:val="00B86A6B"/>
    <w:rsid w:val="00B905F7"/>
    <w:rsid w:val="00B97575"/>
    <w:rsid w:val="00BA0E3D"/>
    <w:rsid w:val="00BA1D9B"/>
    <w:rsid w:val="00BA50AD"/>
    <w:rsid w:val="00BA544F"/>
    <w:rsid w:val="00BA5B1D"/>
    <w:rsid w:val="00BB335A"/>
    <w:rsid w:val="00BB52B8"/>
    <w:rsid w:val="00BD05BB"/>
    <w:rsid w:val="00BD1451"/>
    <w:rsid w:val="00BD515D"/>
    <w:rsid w:val="00BE72DA"/>
    <w:rsid w:val="00BF3E43"/>
    <w:rsid w:val="00BF7824"/>
    <w:rsid w:val="00C00E3A"/>
    <w:rsid w:val="00C132AF"/>
    <w:rsid w:val="00C1370C"/>
    <w:rsid w:val="00C14851"/>
    <w:rsid w:val="00C14D5F"/>
    <w:rsid w:val="00C200AC"/>
    <w:rsid w:val="00C25D28"/>
    <w:rsid w:val="00C32169"/>
    <w:rsid w:val="00C344EA"/>
    <w:rsid w:val="00C35507"/>
    <w:rsid w:val="00C37347"/>
    <w:rsid w:val="00C51E00"/>
    <w:rsid w:val="00C54872"/>
    <w:rsid w:val="00C5532B"/>
    <w:rsid w:val="00C56FE3"/>
    <w:rsid w:val="00C57312"/>
    <w:rsid w:val="00C57490"/>
    <w:rsid w:val="00C607DC"/>
    <w:rsid w:val="00C60E74"/>
    <w:rsid w:val="00C65424"/>
    <w:rsid w:val="00C65474"/>
    <w:rsid w:val="00C656C1"/>
    <w:rsid w:val="00C67EC1"/>
    <w:rsid w:val="00C72D3A"/>
    <w:rsid w:val="00C72E90"/>
    <w:rsid w:val="00C76CE7"/>
    <w:rsid w:val="00C77E49"/>
    <w:rsid w:val="00C8404C"/>
    <w:rsid w:val="00C84D8C"/>
    <w:rsid w:val="00C86550"/>
    <w:rsid w:val="00C90A6F"/>
    <w:rsid w:val="00C90FAC"/>
    <w:rsid w:val="00C92ED9"/>
    <w:rsid w:val="00CA07CC"/>
    <w:rsid w:val="00CA1C22"/>
    <w:rsid w:val="00CA4EC0"/>
    <w:rsid w:val="00CA51FA"/>
    <w:rsid w:val="00CA6581"/>
    <w:rsid w:val="00CB21A0"/>
    <w:rsid w:val="00CC0BAC"/>
    <w:rsid w:val="00CC4CAB"/>
    <w:rsid w:val="00CC5E44"/>
    <w:rsid w:val="00CC7F88"/>
    <w:rsid w:val="00CD3113"/>
    <w:rsid w:val="00CD6BA7"/>
    <w:rsid w:val="00CE6F49"/>
    <w:rsid w:val="00CE721E"/>
    <w:rsid w:val="00CF3F43"/>
    <w:rsid w:val="00CF5E9B"/>
    <w:rsid w:val="00CF66AA"/>
    <w:rsid w:val="00D0001D"/>
    <w:rsid w:val="00D02524"/>
    <w:rsid w:val="00D13780"/>
    <w:rsid w:val="00D14584"/>
    <w:rsid w:val="00D15403"/>
    <w:rsid w:val="00D36DA5"/>
    <w:rsid w:val="00D37D91"/>
    <w:rsid w:val="00D419B9"/>
    <w:rsid w:val="00D4291C"/>
    <w:rsid w:val="00D44E4E"/>
    <w:rsid w:val="00D46D28"/>
    <w:rsid w:val="00D5033E"/>
    <w:rsid w:val="00D54B08"/>
    <w:rsid w:val="00D556CF"/>
    <w:rsid w:val="00D55B00"/>
    <w:rsid w:val="00D6185F"/>
    <w:rsid w:val="00D71F68"/>
    <w:rsid w:val="00D72B27"/>
    <w:rsid w:val="00D72EF2"/>
    <w:rsid w:val="00D82260"/>
    <w:rsid w:val="00D84712"/>
    <w:rsid w:val="00D861D6"/>
    <w:rsid w:val="00D938D4"/>
    <w:rsid w:val="00D93BE8"/>
    <w:rsid w:val="00D94061"/>
    <w:rsid w:val="00D95C95"/>
    <w:rsid w:val="00DA0140"/>
    <w:rsid w:val="00DA05B0"/>
    <w:rsid w:val="00DA14A2"/>
    <w:rsid w:val="00DA1F9C"/>
    <w:rsid w:val="00DA207E"/>
    <w:rsid w:val="00DA2D46"/>
    <w:rsid w:val="00DA3364"/>
    <w:rsid w:val="00DA6D03"/>
    <w:rsid w:val="00DB0303"/>
    <w:rsid w:val="00DB2AFC"/>
    <w:rsid w:val="00DB2B64"/>
    <w:rsid w:val="00DB577D"/>
    <w:rsid w:val="00DB59A3"/>
    <w:rsid w:val="00DB7691"/>
    <w:rsid w:val="00DC0FD4"/>
    <w:rsid w:val="00DC611C"/>
    <w:rsid w:val="00DC6F2B"/>
    <w:rsid w:val="00DD3EB7"/>
    <w:rsid w:val="00DF0D38"/>
    <w:rsid w:val="00E01364"/>
    <w:rsid w:val="00E0502E"/>
    <w:rsid w:val="00E175CC"/>
    <w:rsid w:val="00E2066C"/>
    <w:rsid w:val="00E215FD"/>
    <w:rsid w:val="00E239FA"/>
    <w:rsid w:val="00E2632E"/>
    <w:rsid w:val="00E33FAE"/>
    <w:rsid w:val="00E34E81"/>
    <w:rsid w:val="00E35D74"/>
    <w:rsid w:val="00E36021"/>
    <w:rsid w:val="00E370A7"/>
    <w:rsid w:val="00E37B3C"/>
    <w:rsid w:val="00E41446"/>
    <w:rsid w:val="00E46B09"/>
    <w:rsid w:val="00E51088"/>
    <w:rsid w:val="00E522EB"/>
    <w:rsid w:val="00E600B1"/>
    <w:rsid w:val="00E6156D"/>
    <w:rsid w:val="00E61F57"/>
    <w:rsid w:val="00E62149"/>
    <w:rsid w:val="00E644A7"/>
    <w:rsid w:val="00E6486D"/>
    <w:rsid w:val="00E65F52"/>
    <w:rsid w:val="00E66811"/>
    <w:rsid w:val="00E70676"/>
    <w:rsid w:val="00E75F7F"/>
    <w:rsid w:val="00E81FA2"/>
    <w:rsid w:val="00E850CC"/>
    <w:rsid w:val="00E86AB3"/>
    <w:rsid w:val="00E90E09"/>
    <w:rsid w:val="00E91D31"/>
    <w:rsid w:val="00E9557E"/>
    <w:rsid w:val="00EA1299"/>
    <w:rsid w:val="00EA2CD5"/>
    <w:rsid w:val="00EA38F6"/>
    <w:rsid w:val="00EA43B2"/>
    <w:rsid w:val="00EA5242"/>
    <w:rsid w:val="00EB4CAB"/>
    <w:rsid w:val="00EB77DB"/>
    <w:rsid w:val="00EB799E"/>
    <w:rsid w:val="00EC0EA2"/>
    <w:rsid w:val="00EC243A"/>
    <w:rsid w:val="00EC267E"/>
    <w:rsid w:val="00EC5758"/>
    <w:rsid w:val="00EC65FD"/>
    <w:rsid w:val="00ED2B7D"/>
    <w:rsid w:val="00EE1712"/>
    <w:rsid w:val="00EE3F53"/>
    <w:rsid w:val="00EE4783"/>
    <w:rsid w:val="00EE643E"/>
    <w:rsid w:val="00EF0E4A"/>
    <w:rsid w:val="00EF4A21"/>
    <w:rsid w:val="00EF71B5"/>
    <w:rsid w:val="00F11DCF"/>
    <w:rsid w:val="00F17DD9"/>
    <w:rsid w:val="00F235D0"/>
    <w:rsid w:val="00F239C9"/>
    <w:rsid w:val="00F23A08"/>
    <w:rsid w:val="00F26A09"/>
    <w:rsid w:val="00F27CDF"/>
    <w:rsid w:val="00F31579"/>
    <w:rsid w:val="00F36D1E"/>
    <w:rsid w:val="00F407DA"/>
    <w:rsid w:val="00F45367"/>
    <w:rsid w:val="00F46397"/>
    <w:rsid w:val="00F471DB"/>
    <w:rsid w:val="00F503F0"/>
    <w:rsid w:val="00F51B18"/>
    <w:rsid w:val="00F53095"/>
    <w:rsid w:val="00F54D0A"/>
    <w:rsid w:val="00F6108E"/>
    <w:rsid w:val="00F61164"/>
    <w:rsid w:val="00F63CCE"/>
    <w:rsid w:val="00F65A44"/>
    <w:rsid w:val="00F73D91"/>
    <w:rsid w:val="00F7652A"/>
    <w:rsid w:val="00F768C5"/>
    <w:rsid w:val="00F778F4"/>
    <w:rsid w:val="00F81008"/>
    <w:rsid w:val="00F837AD"/>
    <w:rsid w:val="00F83FC3"/>
    <w:rsid w:val="00F86A03"/>
    <w:rsid w:val="00F86EC0"/>
    <w:rsid w:val="00F87E9A"/>
    <w:rsid w:val="00F9500E"/>
    <w:rsid w:val="00F972BE"/>
    <w:rsid w:val="00FA05F6"/>
    <w:rsid w:val="00FA0D0B"/>
    <w:rsid w:val="00FA39E0"/>
    <w:rsid w:val="00FA3F3E"/>
    <w:rsid w:val="00FA49B2"/>
    <w:rsid w:val="00FA5449"/>
    <w:rsid w:val="00FA5FCE"/>
    <w:rsid w:val="00FA7820"/>
    <w:rsid w:val="00FB14D6"/>
    <w:rsid w:val="00FB3DF3"/>
    <w:rsid w:val="00FC0F39"/>
    <w:rsid w:val="00FC2BE2"/>
    <w:rsid w:val="00FC337B"/>
    <w:rsid w:val="00FC3ACB"/>
    <w:rsid w:val="00FC41B4"/>
    <w:rsid w:val="00FC425C"/>
    <w:rsid w:val="00FC4D0C"/>
    <w:rsid w:val="00FC56C7"/>
    <w:rsid w:val="00FC6077"/>
    <w:rsid w:val="00FD448D"/>
    <w:rsid w:val="00FD4D33"/>
    <w:rsid w:val="00FE1803"/>
    <w:rsid w:val="00FE1B9C"/>
    <w:rsid w:val="00FE1B9E"/>
    <w:rsid w:val="00FE20BD"/>
    <w:rsid w:val="00FE3113"/>
    <w:rsid w:val="00FE5E8C"/>
    <w:rsid w:val="00FF12C8"/>
    <w:rsid w:val="00FF67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68D279-83DF-4106-913D-708FE049E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2A99"/>
    <w:pPr>
      <w:spacing w:after="0" w:line="240" w:lineRule="auto"/>
    </w:pPr>
    <w:rPr>
      <w:rFonts w:ascii="Times New Roman" w:eastAsia="SimSun" w:hAnsi="Times New Roman" w:cs="Times New Roman"/>
      <w:sz w:val="24"/>
      <w:szCs w:val="24"/>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72A99"/>
    <w:pPr>
      <w:widowControl w:val="0"/>
      <w:ind w:right="29"/>
      <w:jc w:val="center"/>
    </w:pPr>
    <w:rPr>
      <w:rFonts w:eastAsia="Times New Roman"/>
      <w:szCs w:val="20"/>
      <w:lang w:val="sq-AL" w:eastAsia="sq-AL"/>
    </w:rPr>
  </w:style>
  <w:style w:type="character" w:customStyle="1" w:styleId="TitleChar">
    <w:name w:val="Title Char"/>
    <w:basedOn w:val="DefaultParagraphFont"/>
    <w:link w:val="Title"/>
    <w:rsid w:val="00272A99"/>
    <w:rPr>
      <w:rFonts w:ascii="Times New Roman" w:eastAsia="Times New Roman" w:hAnsi="Times New Roman" w:cs="Times New Roman"/>
      <w:sz w:val="24"/>
      <w:szCs w:val="20"/>
      <w:lang w:val="sq-AL" w:eastAsia="sq-AL"/>
    </w:rPr>
  </w:style>
  <w:style w:type="paragraph" w:styleId="ListParagraph">
    <w:name w:val="List Paragraph"/>
    <w:basedOn w:val="Normal"/>
    <w:link w:val="ListParagraphChar"/>
    <w:uiPriority w:val="34"/>
    <w:qFormat/>
    <w:rsid w:val="00272A99"/>
    <w:pPr>
      <w:ind w:left="720"/>
      <w:contextualSpacing/>
    </w:pPr>
  </w:style>
  <w:style w:type="paragraph" w:styleId="PlainText">
    <w:name w:val="Plain Text"/>
    <w:basedOn w:val="Normal"/>
    <w:link w:val="PlainTextChar"/>
    <w:unhideWhenUsed/>
    <w:rsid w:val="00272A99"/>
    <w:rPr>
      <w:rFonts w:ascii="Courier New" w:eastAsia="Calibri" w:hAnsi="Courier New" w:cs="Courier New"/>
      <w:sz w:val="20"/>
      <w:szCs w:val="20"/>
      <w:lang w:val="en-US" w:eastAsia="en-US"/>
    </w:rPr>
  </w:style>
  <w:style w:type="character" w:customStyle="1" w:styleId="PlainTextChar">
    <w:name w:val="Plain Text Char"/>
    <w:basedOn w:val="DefaultParagraphFont"/>
    <w:link w:val="PlainText"/>
    <w:rsid w:val="00272A99"/>
    <w:rPr>
      <w:rFonts w:ascii="Courier New" w:eastAsia="Calibri" w:hAnsi="Courier New" w:cs="Courier New"/>
      <w:sz w:val="20"/>
      <w:szCs w:val="20"/>
    </w:rPr>
  </w:style>
  <w:style w:type="character" w:customStyle="1" w:styleId="hps">
    <w:name w:val="hps"/>
    <w:basedOn w:val="DefaultParagraphFont"/>
    <w:rsid w:val="00272A99"/>
  </w:style>
  <w:style w:type="paragraph" w:customStyle="1" w:styleId="Default">
    <w:name w:val="Default"/>
    <w:rsid w:val="00D54B08"/>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9518B5"/>
    <w:rPr>
      <w:rFonts w:ascii="Tahoma" w:hAnsi="Tahoma" w:cs="Tahoma"/>
      <w:sz w:val="16"/>
      <w:szCs w:val="16"/>
    </w:rPr>
  </w:style>
  <w:style w:type="character" w:customStyle="1" w:styleId="BalloonTextChar">
    <w:name w:val="Balloon Text Char"/>
    <w:basedOn w:val="DefaultParagraphFont"/>
    <w:link w:val="BalloonText"/>
    <w:uiPriority w:val="99"/>
    <w:semiHidden/>
    <w:rsid w:val="009518B5"/>
    <w:rPr>
      <w:rFonts w:ascii="Tahoma" w:eastAsia="SimSun" w:hAnsi="Tahoma" w:cs="Tahoma"/>
      <w:sz w:val="16"/>
      <w:szCs w:val="16"/>
      <w:lang w:val="en-GB" w:eastAsia="zh-CN"/>
    </w:rPr>
  </w:style>
  <w:style w:type="table" w:styleId="TableGrid">
    <w:name w:val="Table Grid"/>
    <w:basedOn w:val="TableNormal"/>
    <w:uiPriority w:val="39"/>
    <w:rsid w:val="005B5D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836F24"/>
    <w:rPr>
      <w:rFonts w:ascii="Times New Roman" w:eastAsia="SimSun" w:hAnsi="Times New Roman" w:cs="Times New Roman"/>
      <w:sz w:val="24"/>
      <w:szCs w:val="24"/>
      <w:lang w:val="en-GB" w:eastAsia="zh-CN"/>
    </w:rPr>
  </w:style>
  <w:style w:type="paragraph" w:styleId="Header">
    <w:name w:val="header"/>
    <w:basedOn w:val="Normal"/>
    <w:link w:val="HeaderChar"/>
    <w:uiPriority w:val="99"/>
    <w:unhideWhenUsed/>
    <w:rsid w:val="00546322"/>
    <w:pPr>
      <w:tabs>
        <w:tab w:val="center" w:pos="4680"/>
        <w:tab w:val="right" w:pos="9360"/>
      </w:tabs>
    </w:pPr>
  </w:style>
  <w:style w:type="character" w:customStyle="1" w:styleId="HeaderChar">
    <w:name w:val="Header Char"/>
    <w:basedOn w:val="DefaultParagraphFont"/>
    <w:link w:val="Header"/>
    <w:uiPriority w:val="99"/>
    <w:rsid w:val="00546322"/>
    <w:rPr>
      <w:rFonts w:ascii="Times New Roman" w:eastAsia="SimSun" w:hAnsi="Times New Roman" w:cs="Times New Roman"/>
      <w:sz w:val="24"/>
      <w:szCs w:val="24"/>
      <w:lang w:val="en-GB" w:eastAsia="zh-CN"/>
    </w:rPr>
  </w:style>
  <w:style w:type="paragraph" w:styleId="Footer">
    <w:name w:val="footer"/>
    <w:basedOn w:val="Normal"/>
    <w:link w:val="FooterChar"/>
    <w:uiPriority w:val="99"/>
    <w:unhideWhenUsed/>
    <w:rsid w:val="00546322"/>
    <w:pPr>
      <w:tabs>
        <w:tab w:val="center" w:pos="4680"/>
        <w:tab w:val="right" w:pos="9360"/>
      </w:tabs>
    </w:pPr>
  </w:style>
  <w:style w:type="character" w:customStyle="1" w:styleId="FooterChar">
    <w:name w:val="Footer Char"/>
    <w:basedOn w:val="DefaultParagraphFont"/>
    <w:link w:val="Footer"/>
    <w:uiPriority w:val="99"/>
    <w:rsid w:val="00546322"/>
    <w:rPr>
      <w:rFonts w:ascii="Times New Roman" w:eastAsia="SimSun" w:hAnsi="Times New Roman" w:cs="Times New Roman"/>
      <w:sz w:val="24"/>
      <w:szCs w:val="24"/>
      <w:lang w:val="en-GB" w:eastAsia="zh-CN"/>
    </w:rPr>
  </w:style>
  <w:style w:type="character" w:styleId="CommentReference">
    <w:name w:val="annotation reference"/>
    <w:basedOn w:val="DefaultParagraphFont"/>
    <w:uiPriority w:val="99"/>
    <w:semiHidden/>
    <w:unhideWhenUsed/>
    <w:rsid w:val="00D55B00"/>
    <w:rPr>
      <w:sz w:val="16"/>
      <w:szCs w:val="16"/>
    </w:rPr>
  </w:style>
  <w:style w:type="paragraph" w:styleId="CommentText">
    <w:name w:val="annotation text"/>
    <w:basedOn w:val="Normal"/>
    <w:link w:val="CommentTextChar"/>
    <w:uiPriority w:val="99"/>
    <w:semiHidden/>
    <w:unhideWhenUsed/>
    <w:rsid w:val="00D55B00"/>
    <w:rPr>
      <w:sz w:val="20"/>
      <w:szCs w:val="20"/>
    </w:rPr>
  </w:style>
  <w:style w:type="character" w:customStyle="1" w:styleId="CommentTextChar">
    <w:name w:val="Comment Text Char"/>
    <w:basedOn w:val="DefaultParagraphFont"/>
    <w:link w:val="CommentText"/>
    <w:uiPriority w:val="99"/>
    <w:semiHidden/>
    <w:rsid w:val="00D55B00"/>
    <w:rPr>
      <w:rFonts w:ascii="Times New Roman" w:eastAsia="SimSun" w:hAnsi="Times New Roman"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D55B00"/>
    <w:rPr>
      <w:b/>
      <w:bCs/>
    </w:rPr>
  </w:style>
  <w:style w:type="character" w:customStyle="1" w:styleId="CommentSubjectChar">
    <w:name w:val="Comment Subject Char"/>
    <w:basedOn w:val="CommentTextChar"/>
    <w:link w:val="CommentSubject"/>
    <w:uiPriority w:val="99"/>
    <w:semiHidden/>
    <w:rsid w:val="00D55B00"/>
    <w:rPr>
      <w:rFonts w:ascii="Times New Roman" w:eastAsia="SimSun" w:hAnsi="Times New Roman" w:cs="Times New Roman"/>
      <w:b/>
      <w:bCs/>
      <w:sz w:val="20"/>
      <w:szCs w:val="20"/>
      <w:lang w:val="en-GB" w:eastAsia="zh-CN"/>
    </w:rPr>
  </w:style>
  <w:style w:type="paragraph" w:styleId="BodyText">
    <w:name w:val="Body Text"/>
    <w:basedOn w:val="Normal"/>
    <w:link w:val="BodyTextChar"/>
    <w:uiPriority w:val="99"/>
    <w:unhideWhenUsed/>
    <w:rsid w:val="00AC4EFB"/>
    <w:pPr>
      <w:spacing w:after="120" w:line="276" w:lineRule="auto"/>
    </w:pPr>
    <w:rPr>
      <w:rFonts w:ascii="Calibri" w:eastAsia="Times New Roman" w:hAnsi="Calibri"/>
      <w:sz w:val="22"/>
      <w:szCs w:val="22"/>
      <w:lang w:val="en-US" w:eastAsia="en-US"/>
    </w:rPr>
  </w:style>
  <w:style w:type="character" w:customStyle="1" w:styleId="BodyTextChar">
    <w:name w:val="Body Text Char"/>
    <w:basedOn w:val="DefaultParagraphFont"/>
    <w:link w:val="BodyText"/>
    <w:uiPriority w:val="99"/>
    <w:rsid w:val="00AC4EFB"/>
    <w:rPr>
      <w:rFonts w:ascii="Calibri" w:eastAsia="Times New Roman" w:hAnsi="Calibri" w:cs="Times New Roman"/>
    </w:rPr>
  </w:style>
  <w:style w:type="paragraph" w:styleId="NormalWeb">
    <w:name w:val="Normal (Web)"/>
    <w:basedOn w:val="Normal"/>
    <w:uiPriority w:val="99"/>
    <w:semiHidden/>
    <w:unhideWhenUsed/>
    <w:rsid w:val="005D3F99"/>
    <w:rPr>
      <w:rFonts w:eastAsiaTheme="minorHAnsi"/>
      <w:lang w:val="en-US" w:eastAsia="en-US"/>
    </w:rPr>
  </w:style>
  <w:style w:type="character" w:customStyle="1" w:styleId="fontstyle01">
    <w:name w:val="fontstyle01"/>
    <w:basedOn w:val="DefaultParagraphFont"/>
    <w:rsid w:val="00A073E8"/>
    <w:rPr>
      <w:rFonts w:ascii="TimesNewRomanPSMT" w:hAnsi="TimesNewRomanPSMT" w:hint="default"/>
      <w:b w:val="0"/>
      <w:bCs w:val="0"/>
      <w:i w:val="0"/>
      <w:iCs w:val="0"/>
      <w:color w:val="000000"/>
      <w:sz w:val="24"/>
      <w:szCs w:val="24"/>
    </w:rPr>
  </w:style>
  <w:style w:type="paragraph" w:customStyle="1" w:styleId="doc-ti">
    <w:name w:val="doc-ti"/>
    <w:basedOn w:val="Normal"/>
    <w:rsid w:val="00A073E8"/>
    <w:pPr>
      <w:spacing w:before="100" w:beforeAutospacing="1" w:after="100" w:afterAutospacing="1"/>
    </w:pPr>
    <w:rPr>
      <w:rFonts w:eastAsia="Times New Roman"/>
      <w:lang w:val="en-US" w:eastAsia="en-US"/>
    </w:rPr>
  </w:style>
  <w:style w:type="paragraph" w:styleId="HTMLPreformatted">
    <w:name w:val="HTML Preformatted"/>
    <w:basedOn w:val="Normal"/>
    <w:link w:val="HTMLPreformattedChar"/>
    <w:uiPriority w:val="99"/>
    <w:semiHidden/>
    <w:unhideWhenUsed/>
    <w:rsid w:val="00A07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A073E8"/>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62657">
      <w:bodyDiv w:val="1"/>
      <w:marLeft w:val="0"/>
      <w:marRight w:val="0"/>
      <w:marTop w:val="0"/>
      <w:marBottom w:val="0"/>
      <w:divBdr>
        <w:top w:val="none" w:sz="0" w:space="0" w:color="auto"/>
        <w:left w:val="none" w:sz="0" w:space="0" w:color="auto"/>
        <w:bottom w:val="none" w:sz="0" w:space="0" w:color="auto"/>
        <w:right w:val="none" w:sz="0" w:space="0" w:color="auto"/>
      </w:divBdr>
    </w:div>
    <w:div w:id="603390810">
      <w:bodyDiv w:val="1"/>
      <w:marLeft w:val="0"/>
      <w:marRight w:val="0"/>
      <w:marTop w:val="0"/>
      <w:marBottom w:val="0"/>
      <w:divBdr>
        <w:top w:val="none" w:sz="0" w:space="0" w:color="auto"/>
        <w:left w:val="none" w:sz="0" w:space="0" w:color="auto"/>
        <w:bottom w:val="none" w:sz="0" w:space="0" w:color="auto"/>
        <w:right w:val="none" w:sz="0" w:space="0" w:color="auto"/>
      </w:divBdr>
      <w:divsChild>
        <w:div w:id="213470591">
          <w:marLeft w:val="0"/>
          <w:marRight w:val="0"/>
          <w:marTop w:val="0"/>
          <w:marBottom w:val="0"/>
          <w:divBdr>
            <w:top w:val="none" w:sz="0" w:space="0" w:color="auto"/>
            <w:left w:val="none" w:sz="0" w:space="0" w:color="auto"/>
            <w:bottom w:val="none" w:sz="0" w:space="0" w:color="auto"/>
            <w:right w:val="none" w:sz="0" w:space="0" w:color="auto"/>
          </w:divBdr>
        </w:div>
      </w:divsChild>
    </w:div>
    <w:div w:id="731467015">
      <w:bodyDiv w:val="1"/>
      <w:marLeft w:val="0"/>
      <w:marRight w:val="0"/>
      <w:marTop w:val="0"/>
      <w:marBottom w:val="0"/>
      <w:divBdr>
        <w:top w:val="none" w:sz="0" w:space="0" w:color="auto"/>
        <w:left w:val="none" w:sz="0" w:space="0" w:color="auto"/>
        <w:bottom w:val="none" w:sz="0" w:space="0" w:color="auto"/>
        <w:right w:val="none" w:sz="0" w:space="0" w:color="auto"/>
      </w:divBdr>
    </w:div>
    <w:div w:id="770392081">
      <w:bodyDiv w:val="1"/>
      <w:marLeft w:val="0"/>
      <w:marRight w:val="0"/>
      <w:marTop w:val="0"/>
      <w:marBottom w:val="0"/>
      <w:divBdr>
        <w:top w:val="none" w:sz="0" w:space="0" w:color="auto"/>
        <w:left w:val="none" w:sz="0" w:space="0" w:color="auto"/>
        <w:bottom w:val="none" w:sz="0" w:space="0" w:color="auto"/>
        <w:right w:val="none" w:sz="0" w:space="0" w:color="auto"/>
      </w:divBdr>
    </w:div>
    <w:div w:id="1055549069">
      <w:bodyDiv w:val="1"/>
      <w:marLeft w:val="0"/>
      <w:marRight w:val="0"/>
      <w:marTop w:val="0"/>
      <w:marBottom w:val="0"/>
      <w:divBdr>
        <w:top w:val="none" w:sz="0" w:space="0" w:color="auto"/>
        <w:left w:val="none" w:sz="0" w:space="0" w:color="auto"/>
        <w:bottom w:val="none" w:sz="0" w:space="0" w:color="auto"/>
        <w:right w:val="none" w:sz="0" w:space="0" w:color="auto"/>
      </w:divBdr>
    </w:div>
    <w:div w:id="1096025135">
      <w:bodyDiv w:val="1"/>
      <w:marLeft w:val="0"/>
      <w:marRight w:val="0"/>
      <w:marTop w:val="0"/>
      <w:marBottom w:val="0"/>
      <w:divBdr>
        <w:top w:val="none" w:sz="0" w:space="0" w:color="auto"/>
        <w:left w:val="none" w:sz="0" w:space="0" w:color="auto"/>
        <w:bottom w:val="none" w:sz="0" w:space="0" w:color="auto"/>
        <w:right w:val="none" w:sz="0" w:space="0" w:color="auto"/>
      </w:divBdr>
    </w:div>
    <w:div w:id="1101728228">
      <w:bodyDiv w:val="1"/>
      <w:marLeft w:val="0"/>
      <w:marRight w:val="0"/>
      <w:marTop w:val="0"/>
      <w:marBottom w:val="0"/>
      <w:divBdr>
        <w:top w:val="none" w:sz="0" w:space="0" w:color="auto"/>
        <w:left w:val="none" w:sz="0" w:space="0" w:color="auto"/>
        <w:bottom w:val="none" w:sz="0" w:space="0" w:color="auto"/>
        <w:right w:val="none" w:sz="0" w:space="0" w:color="auto"/>
      </w:divBdr>
    </w:div>
    <w:div w:id="1278175959">
      <w:bodyDiv w:val="1"/>
      <w:marLeft w:val="0"/>
      <w:marRight w:val="0"/>
      <w:marTop w:val="0"/>
      <w:marBottom w:val="0"/>
      <w:divBdr>
        <w:top w:val="none" w:sz="0" w:space="0" w:color="auto"/>
        <w:left w:val="none" w:sz="0" w:space="0" w:color="auto"/>
        <w:bottom w:val="none" w:sz="0" w:space="0" w:color="auto"/>
        <w:right w:val="none" w:sz="0" w:space="0" w:color="auto"/>
      </w:divBdr>
    </w:div>
    <w:div w:id="1350060356">
      <w:bodyDiv w:val="1"/>
      <w:marLeft w:val="0"/>
      <w:marRight w:val="0"/>
      <w:marTop w:val="0"/>
      <w:marBottom w:val="0"/>
      <w:divBdr>
        <w:top w:val="none" w:sz="0" w:space="0" w:color="auto"/>
        <w:left w:val="none" w:sz="0" w:space="0" w:color="auto"/>
        <w:bottom w:val="none" w:sz="0" w:space="0" w:color="auto"/>
        <w:right w:val="none" w:sz="0" w:space="0" w:color="auto"/>
      </w:divBdr>
    </w:div>
    <w:div w:id="1474712076">
      <w:bodyDiv w:val="1"/>
      <w:marLeft w:val="0"/>
      <w:marRight w:val="0"/>
      <w:marTop w:val="0"/>
      <w:marBottom w:val="0"/>
      <w:divBdr>
        <w:top w:val="none" w:sz="0" w:space="0" w:color="auto"/>
        <w:left w:val="none" w:sz="0" w:space="0" w:color="auto"/>
        <w:bottom w:val="none" w:sz="0" w:space="0" w:color="auto"/>
        <w:right w:val="none" w:sz="0" w:space="0" w:color="auto"/>
      </w:divBdr>
    </w:div>
    <w:div w:id="1579749780">
      <w:bodyDiv w:val="1"/>
      <w:marLeft w:val="0"/>
      <w:marRight w:val="0"/>
      <w:marTop w:val="0"/>
      <w:marBottom w:val="0"/>
      <w:divBdr>
        <w:top w:val="none" w:sz="0" w:space="0" w:color="auto"/>
        <w:left w:val="none" w:sz="0" w:space="0" w:color="auto"/>
        <w:bottom w:val="none" w:sz="0" w:space="0" w:color="auto"/>
        <w:right w:val="none" w:sz="0" w:space="0" w:color="auto"/>
      </w:divBdr>
    </w:div>
    <w:div w:id="1789541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88D659-4CBB-4533-8701-D536BCEF7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1660</Words>
  <Characters>9466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Zarina Taja</dc:creator>
  <cp:lastModifiedBy>Amela Kora</cp:lastModifiedBy>
  <cp:revision>2</cp:revision>
  <cp:lastPrinted>2019-11-07T15:26:00Z</cp:lastPrinted>
  <dcterms:created xsi:type="dcterms:W3CDTF">2020-11-04T08:10:00Z</dcterms:created>
  <dcterms:modified xsi:type="dcterms:W3CDTF">2020-11-04T08:10:00Z</dcterms:modified>
</cp:coreProperties>
</file>